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WpHG — Veröffentlichung von Mitteilungen und Übermittlung im Wege der Datenfernübertragung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Der Emittent von zugelassenen Aktien, für den die Bundesrepublik Deutschland der Herkunftsstaat ist, muss</w:t>
      </w:r>
    </w:p>
    <w:p>
      <w:pPr>
        <w:ind w:left="420"/>
      </w:pPr>
      <w:r>
        <w:t xml:space="preserve">1. die Einberufung der Hauptversammlung einschließlich der Tagesordnung, die Gesamtzahl der Aktien und Stimmrechte unter gesonderter Angabe der Mehrstimmrechtsaktien und der auf sie entfallenden Stimmrechte im Zeitpunkt der Einberufung der Hauptversammlung und die Rechte der Aktionäre bezüglich der Teilnahme an der Hauptversammlung sowie</w:t>
      </w:r>
    </w:p>
    <w:p>
      <w:pPr>
        <w:ind w:left="420"/>
      </w:pPr>
      <w:r>
        <w:t xml:space="preserve">2. Mitteilungen über die Ausschüttung und Auszahlung von Dividenden, die Ankündigung der Ausgabe neuer Aktien und die Vereinbarung oder Ausübung von Umtausch-, Bezugs-, Einziehungs- und Zeichnungsrechten sowie die Beschlussfassung über diese Rechte</w:t>
      </w:r>
    </w:p>
    <w:p>
      <w:r>
        <w:t xml:space="preserve">unverzüglich im Bundesanzeiger veröffentlichen. Soweit eine entsprechende Veröffentlichung im Bundesanzeiger auch durch sonstige Vorschriften vorgeschrieben wird, ist eine einmalige Veröffentlichung ausreichend.</w:t>
      </w:r>
    </w:p>
    <w:p>
      <w:r>
        <w:t xml:space="preserve">(2) Der Emittent zugelassener Schuldtitel im Sinne von § 48 Absatz 1 Nummer 6, für den die Bundesrepublik Deutschland der Herkunftsstaat ist, muss</w:t>
      </w:r>
    </w:p>
    <w:p>
      <w:pPr>
        <w:ind w:left="420"/>
      </w:pPr>
      <w:r>
        <w:t xml:space="preserve">1. den Ort, den Zeitpunkt und die Tagesordnung der Gläubigerversammlung und Mitteilungen über das Recht der Schuldtitelinhaber zur Teilnahme daran sowie</w:t>
      </w:r>
    </w:p>
    <w:p>
      <w:pPr>
        <w:ind w:left="420"/>
      </w:pPr>
      <w:r>
        <w:t xml:space="preserve">2. Mitteilungen über die Ausübung von Umtausch-, Zeichnungs- und Kündigungsrechten sowie über die Zinszahlungen, die Rückzahlungen, die Auslosungen und die bisher gekündigten oder ausgelosten, noch nicht eingelösten Stücke</w:t>
      </w:r>
    </w:p>
    <w:p>
      <w:r>
        <w:t xml:space="preserve">unverzüglich im Bundesanzeiger veröffentlichen. Absatz 1 Satz 2 gilt entsprechend.</w:t>
      </w:r>
    </w:p>
    <w:p>
      <w:r>
        <w:t xml:space="preserve">(3) Unbeschadet der Veröffentlichungspflichten nach den Absätzen 1 und 2 dürfen Emittenten, für die die Bundesrepublik Deutschland der Herkunftsstaat ist, Informationen an die Inhaber zugelassener Wertpapiere im Wege der Datenfernübertragung übermitteln, wenn die dadurch entstehenden Kosten nicht unter Verletzung des Gleichbehandlungsgrundsatzes nach § 48 Absatz 1 Nummer 1 den Wertpapierinhabern auferlegt werden und</w:t>
      </w:r>
    </w:p>
    <w:p>
      <w:pPr>
        <w:ind w:left="420"/>
      </w:pPr>
      <w:r>
        <w:t xml:space="preserve">1. im Falle zugelassener Aktien</w:t>
      </w:r>
    </w:p>
    <w:p>
      <w:pPr>
        <w:ind w:left="780"/>
      </w:pPr>
      <w:r>
        <w:t xml:space="preserve">a) die Hauptversammlung zugestimmt hat,</w:t>
      </w:r>
    </w:p>
    <w:p>
      <w:pPr>
        <w:ind w:left="780"/>
      </w:pPr>
      <w:r>
        <w:t xml:space="preserve">b) die Wahl der Art der Datenfernübertragung nicht vom Sitz oder Wohnsitz der Aktionäre oder der Personen, denen Stimmrechte in den Fällen des § 34 zugerechnet werden, abhängt,</w:t>
      </w:r>
    </w:p>
    <w:p>
      <w:pPr>
        <w:ind w:left="780"/>
      </w:pPr>
      <w:r>
        <w:t xml:space="preserve">c) Vorkehrungen zur sicheren Identifizierung und Adressierung der Aktionäre oder derjenigen, die Stimmrechte ausüben oder Weisungen zu deren Ausübung erteilen dürfen, getroffen worden sind und</w:t>
      </w:r>
    </w:p>
    <w:p>
      <w:pPr>
        <w:ind w:left="780"/>
      </w:pPr>
      <w:r>
        <w:t xml:space="preserve">d) die Aktionäre oder in Fällen des § 34 Absatz 1 Satz 1 Nummer 1, 3, 4 und Absatz 2 die zur Ausübung von Stimmrechten Berechtigten in die Übermittlung im Wege der Datenfernübertragung ausdrücklich eingewilligt haben oder einer Bitte in Textform um Zustimmung nicht innerhalb eines angemessenen Zeitraums widersprochen und die dadurch als erteilt geltende Zustimmung nicht zu einem späteren Zeitpunkt widerrufen haben,</w:t>
      </w:r>
    </w:p>
    <w:p>
      <w:pPr>
        <w:ind w:left="420"/>
      </w:pPr>
      <w:r>
        <w:t xml:space="preserve">2. im Falle zugelassener Schuldtitel im Sinne von § 48 Absatz 1 Nummer 6</w:t>
      </w:r>
    </w:p>
    <w:p>
      <w:pPr>
        <w:ind w:left="780"/>
      </w:pPr>
      <w:r>
        <w:t xml:space="preserve">a) eine Gläubigerversammlung zugestimmt hat,</w:t>
      </w:r>
    </w:p>
    <w:p>
      <w:pPr>
        <w:ind w:left="780"/>
      </w:pPr>
      <w:r>
        <w:t xml:space="preserve">b) die Wahl der Art der Datenfernübertragung nicht vom Sitz oder Wohnsitz der Schuldtitelinhaber oder deren Bevollmächtigten abhängt,</w:t>
      </w:r>
    </w:p>
    <w:p>
      <w:pPr>
        <w:ind w:left="780"/>
      </w:pPr>
      <w:r>
        <w:t xml:space="preserve">c) Vorkehrungen zur sicheren Identifizierung und Adressierung der Schuldtitelinhaber getroffen worden sind,</w:t>
      </w:r>
    </w:p>
    <w:p>
      <w:pPr>
        <w:ind w:left="780"/>
      </w:pPr>
      <w:r>
        <w:t xml:space="preserve">d) die Schuldtitelinhaber in die Übermittlung im Wege der Datenfernübertragung ausdrücklich eingewilligt haben oder einer Bitte in Textform um Zustimmung nicht innerhalb eines angemessenen Zeitraums widersprochen und die dadurch als erteilt geltende Zustimmung nicht zu einem späteren Zeitpunkt widerrufen haben.</w:t>
      </w:r>
    </w:p>
    <w:p>
      <w:r>
        <w:t xml:space="preserve">Ist eine Datenfernübertragung unter diesen Voraussetzungen nicht möglich, erfolgt die Übermittlung ohne Rücksicht auf anderweitige Satzungsregelungen des Emittenten auf schriftlichem Wege.</w:t>
      </w:r>
    </w:p>
    <w:p>
      <w:r>
        <w:rPr>
          <w:color w:val="555555"/>
          <w:sz w:val="17"/>
        </w:rPr>
        <w:t xml:space="preserve">Zitiervorschlag: § 49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