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WpHG — Pflichten der Emittenten gegenüber Wertpapierinhabern</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Emittenten, für die die Bundesrepublik Deutschland der Herkunftsstaat ist, müssen sicherstellen, dass</w:t>
      </w:r>
    </w:p>
    <w:p>
      <w:pPr>
        <w:ind w:left="420"/>
      </w:pPr>
      <w:r>
        <w:t xml:space="preserve">1. alle Inhaber der zugelassenen Wertpapiere unter gleichen Voraussetzungen gleich behandelt werden;</w:t>
      </w:r>
    </w:p>
    <w:p>
      <w:pPr>
        <w:ind w:left="420"/>
      </w:pPr>
      <w:r>
        <w:t xml:space="preserve">2. alle Einrichtungen und Informationen, die die Inhaber der zugelassenen Wertpapiere zur Ausübung ihrer Rechte benötigen, im Inland öffentlich zur Verfügung stehen;</w:t>
      </w:r>
    </w:p>
    <w:p>
      <w:pPr>
        <w:ind w:left="420"/>
      </w:pPr>
      <w:r>
        <w:t xml:space="preserve">3. Daten zu Inhabern zugelassener Wertpapiere vor einer Kenntnisnahme durch Unbefugte geschützt sind;</w:t>
      </w:r>
    </w:p>
    <w:p>
      <w:pPr>
        <w:ind w:left="420"/>
      </w:pPr>
      <w:r>
        <w:t xml:space="preserve">4. für die gesamte Dauer der Zulassung der Wertpapiere mindestens ein Finanzinstitut als Zahlstelle im Inland bestimmt ist, bei der alle erforderlichen Maßnahmen hinsichtlich der Wertpapiere, im Falle der Vorlegung der Wertpapiere bei dieser Stelle kostenfrei, bewirkt werden können;</w:t>
      </w:r>
    </w:p>
    <w:p>
      <w:pPr>
        <w:ind w:left="420"/>
      </w:pPr>
      <w:r>
        <w:t xml:space="preserve">5. im Falle zugelassener Aktien jeder stimmberechtigten Person zusammen mit der Einladung zur Hauptversammlung oder nach deren Anberaumung auf Verlangen in Textform ein Formular für die Erteilung einer Vollmacht für die Hauptversammlung übermittelt wird;</w:t>
      </w:r>
    </w:p>
    <w:p>
      <w:pPr>
        <w:ind w:left="420"/>
      </w:pPr>
      <w:r>
        <w:t xml:space="preserve">6. im Falle zugelassener Schuldtitel im Sinne des § 2 Absatz 1 Nummer 3 mit Ausnahme von Wertpapieren, die zugleich unter § 2 Absatz 1 Nummer 2 fallen oder die ein zumindest bedingtes Recht auf den Erwerb von Wertpapieren nach § 2 Absatz 1 Nummer 1 oder Nummer 2 begründen, jeder stimmberechtigten Person zusammen mit der Einladung zur Gläubigerversammlung oder nach deren Anberaumung auf Verlangen rechtzeitig in Textform ein Formular für die Erteilung einer Vollmacht für die Gläubigerversammlung übermittelt wird.</w:t>
      </w:r>
    </w:p>
    <w:p>
      <w:r>
        <w:t xml:space="preserve">(2) Ein Emittent von zugelassenen Schuldtiteln im Sinne des Absatzes 1 Nummer 6, für den die Bundesrepublik Deutschland der Herkunftsstaat ist, kann die Gläubigerversammlung in jedem Mitgliedstaat der Europäischen Union oder in jedem anderen Vertragsstaat des Abkommens über den Europäischen Wirtschaftsraum abhalten. Das setzt voraus, dass in dem Staat alle für die Ausübung der Rechte erforderlichen Einrichtungen und Informationen für die Schuldtitelinhaber verfügbar sind und zur Gläubigerversammlung ausschließlich Inhaber von folgenden Schuldtiteln eingeladen werden:</w:t>
      </w:r>
    </w:p>
    <w:p>
      <w:pPr>
        <w:ind w:left="420"/>
      </w:pPr>
      <w:r>
        <w:t xml:space="preserve">1. Schuldtiteln mit einer Mindeststückelung von 100 000 Euro oder dem am Ausgabetag entsprechenden Gegenwert in einer anderen Währung oder</w:t>
      </w:r>
    </w:p>
    <w:p>
      <w:pPr>
        <w:ind w:left="420"/>
      </w:pPr>
      <w:r>
        <w:t xml:space="preserve">2. noch ausstehenden Schuldtiteln mit einer Mindeststückelung von 50 000 Euro oder dem am Ausgabetag entsprechenden Gegenwert in einer anderen Währung, wenn die Schuldtitel bereits vor dem 31. Dezember 2010 zum Handel an einem organisierten Markt im Inland oder in einem anderen Mitgliedstaat der Europäischen Union oder einem anderen Vertragsstaat des Abkommens über den Europäischen Wirtschaftsraum zugelassen worden sind.</w:t>
      </w:r>
    </w:p>
    <w:p>
      <w:r>
        <w:t xml:space="preserve">(3) Für die Bestimmungen nach Absatz 1 Nr. 1 bis 5 sowie nach § 49 Absatz 3 Nummer 1 stehen die Inhaber Aktien vertretender Hinterlegungsscheine den Inhabern der vertretenen Aktien gleich.</w:t>
      </w:r>
    </w:p>
    <w:p>
      <w:r>
        <w:rPr>
          <w:color w:val="555555"/>
          <w:sz w:val="17"/>
        </w:rPr>
        <w:t xml:space="preserve">Zitiervorschlag: § 48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