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WpHG — Handelstage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Berechnung der Mitteilungs- und Veröffentlichungsfristen nach diesem Abschnitt gelten als Handelstage alle Kalendertage, die nicht Sonnabende, Sonntage oder zumindest in einem Land landeseinheitliche gesetzlich anerkannte Feiertage sind.</w:t>
      </w:r>
    </w:p>
    <w:p>
      <w:r>
        <w:t xml:space="preserve">(2) Die Bundesanstalt stellt im Internet unter ihrer Adresse einen Kalender der Handelstage zur Verfügung.</w:t>
      </w:r>
    </w:p>
    <w:p>
      <w:r>
        <w:rPr>
          <w:color w:val="555555"/>
          <w:sz w:val="17"/>
        </w:rPr>
        <w:t xml:space="preserve">Zitiervorschlag: § 47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