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WpHG — Mitteilungspflichten für Inhaber wesentlicher Beteiligungen</w:t>
      </w:r>
    </w:p>
    <w:p>
      <w:r>
        <w:rPr>
          <w:color w:val="555555"/>
          <w:sz w:val="18"/>
        </w:rPr>
        <w:t xml:space="preserve">Wertpapierhandelsgesetz</w:t>
      </w:r>
    </w:p>
    <w:p>
      <w:r>
        <w:rPr>
          <w:color w:val="555555"/>
          <w:sz w:val="18"/>
        </w:rPr>
        <w:t xml:space="preserve">Stand: 01.08.2022 (konsolidierte Textfassung, kein amtliches Inkrafttretensdatum)</w:t>
      </w:r>
    </w:p>
    <w:p>
      <w:r>
        <w:t xml:space="preserve">(1) Ein Meldepflichtiger im Sinne der §§ 33 und 34, der die Schwelle von 10 Prozent der Stimmrechte aus Aktien oder eine höhere Schwelle erreicht oder überschreitet, muss dem Emittenten, für den die Bundesrepublik Deutschland Herkunftsstaat ist, die mit dem Erwerb der Stimmrechte verfolgten Ziele und die Herkunft der für den Erwerb verwendeten Mittel innerhalb von 20 Handelstagen nach Erreichen oder Überschreiten dieser Schwellen mitteilen. Eine Änderung der Ziele im Sinne des Satzes 1 ist innerhalb von 20 Handelstagen mitzuteilen. Hinsichtlich der mit dem Erwerb der Stimmrechte verfolgten Ziele hat der Meldepflichtige anzugeben, ob</w:t>
      </w:r>
    </w:p>
    <w:p>
      <w:pPr>
        <w:ind w:left="420"/>
      </w:pPr>
      <w:r>
        <w:t xml:space="preserve">1. die Investition der Umsetzung strategischer Ziele oder der Erzielung von Handelsgewinnen dient,</w:t>
      </w:r>
    </w:p>
    <w:p>
      <w:pPr>
        <w:ind w:left="420"/>
      </w:pPr>
      <w:r>
        <w:t xml:space="preserve">2. er innerhalb der nächsten zwölf Monate weitere Stimmrechte durch Erwerb oder auf sonstige Weise zu erlangen beabsichtigt,</w:t>
      </w:r>
    </w:p>
    <w:p>
      <w:pPr>
        <w:ind w:left="420"/>
      </w:pPr>
      <w:r>
        <w:t xml:space="preserve">3. er eine Einflussnahme auf die Besetzung von Verwaltungs-, Leitungs- und Aufsichtsorganen des Emittenten anstrebt und</w:t>
      </w:r>
    </w:p>
    <w:p>
      <w:pPr>
        <w:ind w:left="420"/>
      </w:pPr>
      <w:r>
        <w:t xml:space="preserve">4. er eine wesentliche Änderung der Kapitalstruktur der Gesellschaft, insbesondere im Hinblick auf das Verhältnis von Eigen- und Fremdfinanzierung und die Dividendenpolitik anstrebt.</w:t>
      </w:r>
    </w:p>
    <w:p>
      <w:r>
        <w:t xml:space="preserve">Hinsichtlich der Herkunft der verwendeten Mittel hat der Meldepflichtige anzugeben, ob es sich um Eigen- oder Fremdmittel handelt, die der Meldepflichtige zur Finanzierung des Erwerbs der Stimmrechte aufgenommen hat. Eine Mitteilungspflicht nach Satz 1 besteht nicht, wenn der Schwellenwert auf Grund eines Angebots im Sinne des § 2 Absatz 1 des Wertpapiererwerbs- und Übernahmegesetzes erreicht oder überschritten wurde. Die Mitteilungspflicht besteht ferner nicht für Kapitalverwaltungsgesellschaften sowie ausländische Verwaltungsgesellschaften und Investmentgesellschaften im Sinne der Richtlinie 2009/65/EG, die einem Artikel 56 Absatz 1 Satz 1 der Richtlinie 2009/65/EG entsprechenden Verbot unterliegen, sofern eine Anlagegrenze von 10 Prozent oder weniger festgelegt worden ist; eine Mitteilungspflicht besteht auch dann nicht, wenn eine Artikel 57 Absatz 1 Satz 1 und Absatz 2 der Richtlinie 2009/65/EG entsprechende zulässige Ausnahme bei der Überschreitung von Anlagegrenzen vorliegt.</w:t>
      </w:r>
    </w:p>
    <w:p>
      <w:r>
        <w:t xml:space="preserve">(2) Der Emittent hat die erhaltene Information oder die Tatsache, dass die Mitteilungspflicht nach Absatz 1 nicht erfüllt wurde, entsprechend § 40 Absatz 1 Satz 1 in Verbindung mit der Rechtsverordnung nach § 40 Absatz 3 Nummer 1 zu veröffentlichen; er übermittelt diese Informationen außerdem unverzüglich, jedoch nicht vor ihrer Veröffentlichung der das Unternehmensregister führenden Stelle zur Einstellung in das Unternehmensregister.</w:t>
      </w:r>
    </w:p>
    <w:p>
      <w:r>
        <w:t xml:space="preserve">(3) Die Satzung eines Emittenten mit Sitz im Inland kann vorsehen, dass Absatz 1 keine Anwendung findet. Absatz 1 findet auch keine Anwendung auf Emittenten mit Sitz im Ausland, deren Satzung oder sonstige Bestimmungen eine Nichtanwendung vorsehen.</w:t>
      </w:r>
    </w:p>
    <w:p>
      <w:r>
        <w:t xml:space="preserve">(4) Das Bundesministerium der Finanzen kann durch Rechtsverordnung, die nicht der Zustimmung des Bundesrates bedarf, nähere Bestimmungen über den Inhalt, die Art, die Sprache, den Umfang und die Form der Mitteilungen nach Absatz 1 erlassen.</w:t>
      </w:r>
    </w:p>
    <w:p>
      <w:r>
        <w:rPr>
          <w:color w:val="555555"/>
          <w:sz w:val="17"/>
        </w:rPr>
        <w:t xml:space="preserve">Zitiervorschlag: § 43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