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WpHG — Veröffentlichung der Gesamtzahl der Stimmrechte und Übermittlung an das Unternehmensregister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Ist es bei einem Inlandsemittenten zu einer Zu- oder Abnahme von Stimmrechten gekommen, so ist er verpflichtet, die Gesamtzahl der Stimmrechte unter Angabe der auf diese entfallenden Anzahl von Mehrstimmrechten und das Datum der Wirksamkeit der Zu- oder Abnahme in der in § 40 Absatz 1 Satz 1, auch in Verbindung mit einer Rechtsverordnung nach Absatz 3 Nummer 1, vorgesehenen Weise unverzüglich, spätestens innerhalb von zwei Handelstagen zu veröffentlichen. Er hat die Veröffentlichung gleichzeitig der Bundesanstalt entsprechend § 40 Absatz 2, auch in Verbindung mit einer Rechtsverordnung nach Absatz 3 Nummer 2, mitzuteilen. Er übermittelt die Informationen gleichzeitig mit der Veröffentlichung der das Unternehmensregister führenden Stelle zur Einstellung in das Unternehmensregister und zur Weiterleitung an das zentrale europäische Zugangsportal.</w:t>
      </w:r>
    </w:p>
    <w:p>
      <w:r>
        <w:t xml:space="preserve">(2) Bei der Ausgabe von Bezugsaktien ist die Gesamtzahl der Stimmrechte abweichend von Absatz 1 Satz 1 nur im Zusammenhang mit einer ohnehin erforderlichen Veröffentlichung nach Absatz 1, spätestens jedoch am Ende des Kalendermonats, in dem es zu einer Zu- oder Abnahme von Stimmrechten gekommen ist, zu veröffentlichen. Der Veröffentlichung des Datums der Wirksamkeit der Zu- oder Abnahme bedarf es nicht.</w:t>
      </w:r>
    </w:p>
    <w:p>
      <w:r>
        <w:rPr>
          <w:color w:val="555555"/>
          <w:sz w:val="17"/>
        </w:rPr>
        <w:t xml:space="preserve">Zitiervorschlag: § 41 WpHG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