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WpHG — Mitteilungspflichten beim Halten von Instrumenten; Verordnungsermächtigung</w:t>
      </w:r>
    </w:p>
    <w:p>
      <w:r>
        <w:rPr>
          <w:color w:val="555555"/>
          <w:sz w:val="18"/>
        </w:rPr>
        <w:t xml:space="preserve">Wertpapierhandelsgesetz</w:t>
      </w:r>
    </w:p>
    <w:p>
      <w:r>
        <w:rPr>
          <w:color w:val="555555"/>
          <w:sz w:val="18"/>
        </w:rPr>
        <w:t xml:space="preserve">Stand: 28.12.2024 (konsolidierte Textfassung, kein amtliches Inkrafttretensdatum)</w:t>
      </w:r>
    </w:p>
    <w:p>
      <w:r>
        <w:t xml:space="preserve">(1) Die Mitteilungspflicht nach § 33 Absatz 1 und 2 gilt bei Erreichen, Überschreiten oder Unterschreiten der in § 33 Absatz 1 Satz 1 genannten Schwellen mit Ausnahme der Schwelle von 3 Prozent entsprechend für unmittelbare oder mittelbare Inhaber von Instrumenten, die</w:t>
      </w:r>
    </w:p>
    <w:p>
      <w:pPr>
        <w:ind w:left="420"/>
      </w:pPr>
      <w:r>
        <w:t xml:space="preserve">1. dem Inhaber entweder</w:t>
      </w:r>
    </w:p>
    <w:p>
      <w:pPr>
        <w:ind w:left="780"/>
      </w:pPr>
      <w:r>
        <w:t xml:space="preserve">a) bei Fälligkeit ein unbedingtes Recht auf Erwerb mit Stimmrechten verbundener und bereits ausgegebener Aktien eines Emittenten, für den die Bundesrepublik Deutschland der Herkunftsstaat ist, oder</w:t>
      </w:r>
    </w:p>
    <w:p>
      <w:pPr>
        <w:ind w:left="780"/>
      </w:pPr>
      <w:r>
        <w:t xml:space="preserve">b) ein Ermessen in Bezug auf sein Recht auf Erwerb dieser Aktien</w:t>
      </w:r>
    </w:p>
    <w:p>
      <w:pPr>
        <w:ind w:left="420"/>
      </w:pPr>
      <w:r>
        <w:t xml:space="preserve">verleihen, oder</w:t>
      </w:r>
    </w:p>
    <w:p>
      <w:pPr>
        <w:ind w:left="420"/>
      </w:pPr>
      <w:r>
        <w:t xml:space="preserve">2. sich auf Aktien im Sinne der Nummer 1 beziehen und eine vergleichbare wirtschaftliche Wirkung haben wie die in Nummer 1 genannten Instrumente, unabhängig davon, ob sie einen Anspruch auf physische Lieferung einräumen oder nicht.</w:t>
      </w:r>
    </w:p>
    <w:p>
      <w:r>
        <w:t xml:space="preserve">Die §§ 36 und 37 gelten entsprechend.</w:t>
      </w:r>
    </w:p>
    <w:p>
      <w:r>
        <w:t xml:space="preserve">(2) Instrumente im Sinne des Absatzes 1 können insbesondere sein:</w:t>
      </w:r>
    </w:p>
    <w:p>
      <w:pPr>
        <w:ind w:left="420"/>
      </w:pPr>
      <w:r>
        <w:t xml:space="preserve">1. übertragbare Wertpapiere,</w:t>
      </w:r>
    </w:p>
    <w:p>
      <w:pPr>
        <w:ind w:left="420"/>
      </w:pPr>
      <w:r>
        <w:t xml:space="preserve">2. Optionen,</w:t>
      </w:r>
    </w:p>
    <w:p>
      <w:pPr>
        <w:ind w:left="420"/>
      </w:pPr>
      <w:r>
        <w:t xml:space="preserve">3. Terminkontrakte,</w:t>
      </w:r>
    </w:p>
    <w:p>
      <w:pPr>
        <w:ind w:left="420"/>
      </w:pPr>
      <w:r>
        <w:t xml:space="preserve">4. Swaps,</w:t>
      </w:r>
    </w:p>
    <w:p>
      <w:pPr>
        <w:ind w:left="420"/>
      </w:pPr>
      <w:r>
        <w:t xml:space="preserve">5. Zinsausgleichsvereinbarungen und</w:t>
      </w:r>
    </w:p>
    <w:p>
      <w:pPr>
        <w:ind w:left="420"/>
      </w:pPr>
      <w:r>
        <w:t xml:space="preserve">6. Differenzgeschäfte.</w:t>
      </w:r>
    </w:p>
    <w:p>
      <w:r>
        <w:t xml:space="preserve">(3) Die Anzahl der für die Mitteilungspflicht nach Absatz 1 maßgeblichen Stimmrechte ist anhand der vollen nominalen Anzahl der dem Instrument zugrunde liegenden Aktien zu berechnen. Sieht das Instrument ausschließlich einen Barausgleich vor, ist die Anzahl der Stimmrechte abweichend von Satz 1 auf einer Delta-angepassten Basis zu berechnen, wobei die nominale Anzahl der zugrunde liegenden Aktien mit dem Delta des Instruments zu multiplizieren ist. Die Einzelheiten der Berechnung bestimmen sich nach der Delegierten Verordnung (EU) 2015/761 in der jeweils geltenden Fassung. Bei Instrumenten, die sich auf einen Aktienkorb oder einen Index beziehen, bestimmt sich die Berechnung ebenfalls nach den technischen Regulierungsstandards nach Satz 3.</w:t>
      </w:r>
    </w:p>
    <w:p>
      <w:r>
        <w:t xml:space="preserve">(4) Beziehen sich verschiedene der in Absatz 1 genannten Instrumente auf Aktien desselben Emittenten, sind die Stimmrechte aus diesen Aktien zusammenzurechnen. Erwerbspositionen dürfen nicht mit Veräußerungspositionen verrechnet werden.</w:t>
      </w:r>
    </w:p>
    <w:p>
      <w:r>
        <w:t xml:space="preserve">(5) Das Bundesministerium der Finanzen kann durch Rechtsverordnung, die nicht der Zustimmung des Bundesrates bedarf, nähere Bestimmungen erlassen über den Inhalt, die Art, die Sprache, den Umfang und die Form der Mitteilung nach Absatz 1. Das Bundesministerium der Finanzen kann die Ermächtigung durch Rechtsverordnung auf die Bundesanstalt übertragen, soweit die Art und die Form der Mitteilung nach Absatz 1, insbesondere die Nutzung eines elektronischen Verfahrens, betroffen sind.</w:t>
      </w:r>
    </w:p>
    <w:p>
      <w:r>
        <w:rPr>
          <w:color w:val="555555"/>
          <w:sz w:val="17"/>
        </w:rPr>
        <w:t xml:space="preserve">Zitiervorschlag: § 38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