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32b WpHG — Zuständigkeit der Bundesanstalt nach der Verordnung (EU) 2020/1503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10.11.2021 (konsolidierte Textfassung, kein amtliches Inkrafttretensdatum)</w:t>
      </w:r>
    </w:p>
    <w:p>
      <w:r>
        <w:t xml:space="preserve">(1) Die Bundesanstalt ist zuständige Behörde im Sinne des Artikels 29 Absatz 1 der Verordnung (EU) 2020/1503.</w:t>
      </w:r>
    </w:p>
    <w:p>
      <w:r>
        <w:t xml:space="preserve">(2) Die Bundesanstalt erlässt im Einvernehmen mit dem Bundesministerium der Justiz und für Verbraucherschutz Gestattungen nach Artikel 2 Absatz 2 der Verordnung (EU) 2020/1503 durch Allgemeinverfügung.</w:t>
      </w:r>
    </w:p>
    <w:p>
      <w:r>
        <w:t xml:space="preserve">(3) In Bezug auf Maßnahmen nach Artikel 17 Absatz 1 der Verordnung (EU) 2020/1503 sind § 48 Absatz 4 Satz 1 und § 49 Absatz 2 Satz 2 des Verwaltungsverfahrensgesetzes über die Jahresfrist nicht anzuwenden.</w:t>
      </w:r>
    </w:p>
    <w:p>
      <w:r>
        <w:t xml:space="preserve">(4) Widerspruch und Anfechtungsklage gegen Entscheidungen und Maßnahmen der Bundesanstalt nach der Verordnung (EU) 2020/1503 einschließlich der Androhung und der Festsetzung von Zwangsmitteln haben keine aufschiebende Wirkung.</w:t>
      </w:r>
    </w:p>
    <w:p>
      <w:r>
        <w:rPr>
          <w:color w:val="555555"/>
          <w:sz w:val="17"/>
        </w:rPr>
        <w:t xml:space="preserve">Zitiervorschlag: § 32b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https://recht.nulegal.eu/gesetze/WpHG/32b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