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WpHG — Zuständigkeit im Sinne der Verordnung (EU) 2019/1238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Bundesanstalt ist zuständige Behörde im Sinne von Artikel 2 Nummer 18 der Verordnung (EU) 2019/1238 des Europäischen Parlaments und des Rates vom 20. Juni 2019 über ein Paneuropäisches Privates Pensionsprodukt (PEPP) (ABl. L 198 vom 25.7.2019, S. 1) in der jeweils geltenden Fassung nach den Vorschriften dieses Gesetzes, soweit nicht § 295 Absatz 1 Nummer 7 des Versicherungsaufsichtsgesetzes, § 6 Absatz 1f des Kreditwesengesetzes oder § 5 Absatz 13 des Kapitalanlagegesetzbuchs anzuwenden ist.</w:t>
      </w:r>
    </w:p>
    <w:p>
      <w:r>
        <w:t xml:space="preserve">(2) Widerspruch und Anfechtungsklage gegen Maßnahmen und Entscheidungen der Bundesanstalt nach Artikel 6 Absatz 4, Artikel 8 Absatz 1 sowie nach Artikel 63 der Verordnung (EG) 2019/1238 haben keine aufschiebende Wirkung.</w:t>
      </w:r>
    </w:p>
    <w:p>
      <w:r>
        <w:rPr>
          <w:color w:val="555555"/>
          <w:sz w:val="17"/>
        </w:rPr>
        <w:t xml:space="preserve">Zitiervorschlag: § 32a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https://recht.nulegal.eu/gesetze/WpHG/32a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