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WpHG — Ausnahmen; Verordnungsermächtigung</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Als Wertpapierdienstleistungsunternehmen gelten nicht</w:t>
      </w:r>
    </w:p>
    <w:p>
      <w:pPr>
        <w:ind w:left="420"/>
      </w:pPr>
      <w:r>
        <w:t xml:space="preserve">1. Unternehmen, die Wertpapierdienstleistungen im Sinne des § 2 Absatz 8 Satz 1 ausschließlich für ihr Mutterunternehmen oder ihre Tochter- oder Schwesterunternehmen im Sinne des Artikels 4 Absatz 1 Nummer 15 und 16 der Verordnung (EU) Nr. 575/2013 des Europäischen Parlaments und des Rates vom 26. Juni 2013 über Aufsichtsanforderungen an Kreditinstitute und Wertpapierfirmen und zur Änderung der Verordnung (EU) Nr. 646/2012 (ABl. L 176 vom 27.6.2013, S. 1) und des § 1 Absatz 7 des Kreditwesengesetzes erbringen,</w:t>
      </w:r>
    </w:p>
    <w:p>
      <w:pPr>
        <w:ind w:left="420"/>
      </w:pPr>
      <w:r>
        <w:t xml:space="preserve">2. Unternehmen, deren Wertpapierdienstleistung für andere ausschließlich in der Verwaltung eines Systems von Arbeitnehmerbeteiligungen an den eigenen oder an mit ihnen verbundenen Unternehmen besteht,</w:t>
      </w:r>
    </w:p>
    <w:p>
      <w:pPr>
        <w:ind w:left="420"/>
      </w:pPr>
      <w:r>
        <w:t xml:space="preserve">3. Unternehmen, die ausschließlich Wertpapierdienstleistungen sowohl nach Nummer 1 als auch nach Nummer 2 erbringen,</w:t>
      </w:r>
    </w:p>
    <w:p>
      <w:pPr>
        <w:ind w:left="420"/>
      </w:pPr>
      <w:r>
        <w:t xml:space="preserve">4. private und öffentlich-rechtliche Versicherungsunternehmen, soweit sie die Tätigkeiten ausüben, die in der Richtlinie 2009/138/EG des Europäischen Parlaments und des Rates vom 25. November 2009 betreffend die Aufnahme und Ausübung der Versicherungs- und der Rückversicherungstätigkeit (Solvabilität II) (ABl. L 335 vom 17.12.2009, S. 1; L 219 vom 25.7.2014, S. 66; L 108 vom 28.4.2015, S. 8), die zuletzt durch die Richtlinie 2014/51/EU (ABl. L 153 vom 22.5.2014, S. 1; L 108 vom 28.4.2015, S. 8) geändert worden ist, genannt sind,</w:t>
      </w:r>
    </w:p>
    <w:p>
      <w:pPr>
        <w:ind w:left="420"/>
      </w:pPr>
      <w:r>
        <w:t xml:space="preserve">5. die öffentliche Schuldenverwaltung des Bundes oder eines Landes, eines ihrer Sondervermögen, eines anderen Mitgliedstaates der Europäischen Union oder eines anderen Vertragsstaates des Abkommens über den Europäischen Wirtschaftsraum, die Deutsche Bundesbank und andere Mitglieder des Europäischen Systems der Zentralbanken sowie die Zentralbanken der anderen Vertragsstaaten und internationale Finanzinstitute, die von zwei oder mehreren Staaten gemeinsam errichtet werden, um zugunsten dieser Staaten Finanzierungsmittel zu beschaffen und Finanzhilfen zu geben, wenn Mitgliedstaaten von schwerwiegenden Finanzierungsproblemen betroffen oder bedroht sind,</w:t>
      </w:r>
    </w:p>
    <w:p>
      <w:pPr>
        <w:ind w:left="420"/>
      </w:pPr>
      <w:r>
        <w:t xml:space="preserve">6. Angehörige freier Berufe, die Wertpapierdienstleistungen nur gelegentlich im Sinne des Artikels 4 der Delegierten Verordnung (EU) 2017/565 und im Rahmen eines Mandatsverhältnisses als Freiberufler erbringen und einer Berufskammer in der Form der Körperschaft des öffentlichen Rechts angehören, deren Berufsrecht die Erbringung von Wertpapierdienstleistungen nicht ausschließt,</w:t>
      </w:r>
    </w:p>
    <w:p>
      <w:pPr>
        <w:ind w:left="420"/>
      </w:pPr>
      <w:r>
        <w:t xml:space="preserve">7. Unternehmen, die als Wertpapierdienstleistung für andere ausschließlich die Anlageberatung und die Anlagevermittlung zwischen Kunden und</w:t>
      </w:r>
    </w:p>
    <w:p>
      <w:pPr>
        <w:ind w:left="780"/>
      </w:pPr>
      <w:r>
        <w:t xml:space="preserve">a) Instituten im Sinne des Kreditwesengesetzes oder Wertpapierinstituten im Sinne des Wertpapierinstitutsgesetzes,</w:t>
      </w:r>
    </w:p>
    <w:p>
      <w:pPr>
        <w:ind w:left="780"/>
      </w:pPr>
      <w:r>
        <w:t xml:space="preserve">b) Instituten oder Finanzunternehmen mit Sitz in einem anderen Staat des Europäischen Wirtschaftsraums, die die Voraussetzungen nach § 53b Abs. 1 Satz 1 oder Abs. 7 des Kreditwesengesetzes erfüllen, oder Wertpapierinstituten nach § 73 Absatz 1 Satz 1 oder § 74 Absatz 1 des Wertpapierinstitutsgesetzes,</w:t>
      </w:r>
    </w:p>
    <w:p>
      <w:pPr>
        <w:ind w:left="780"/>
      </w:pPr>
      <w:r>
        <w:t xml:space="preserve">c) Unternehmen, die aufgrund einer Rechtsverordnung nach § 53c des Kreditwesengesetzes gleichgestellt oder freigestellt sind,</w:t>
      </w:r>
    </w:p>
    <w:p>
      <w:pPr>
        <w:ind w:left="780"/>
      </w:pPr>
      <w:r>
        <w:t xml:space="preserve">d) Kapitalverwaltungsgesellschaften, extern verwalteten Investmentgesellschaften, EU-Verwaltungsgesellschaften oder ausländischen AIF-Verwaltungsgesellschaften oder</w:t>
      </w:r>
    </w:p>
    <w:p>
      <w:pPr>
        <w:ind w:left="780"/>
      </w:pPr>
      <w:r>
        <w:t xml:space="preserve">e) Anbietern oder Emittenten von Vermögensanlagen im Sinne des § 1 Absatz 2 des Vermögensanlagengesetzes</w:t>
      </w:r>
    </w:p>
    <w:p>
      <w:pPr>
        <w:ind w:left="420"/>
      </w:pPr>
      <w:r>
        <w:t xml:space="preserve">betreiben, sofern sich diese Wertpapierdienstleistungen auf Anteile oder Aktien von inländischen Investmentvermögen, die von einer Kapitalverwaltungsgesellschaft ausgegeben werden, die eine Erlaubnis nach § 7 oder § 97 Absatz 1 des Investmentgesetzes in der bis zum 21. Juli 2013 geltenden Fassung hat, die für den in § 345 Absatz 2 Satz 1, Absatz 3 Satz 2, in Verbindung mit Absatz 2 Satz 1, oder Absatz 4 Satz 1 des Kapitalanlagegesetzbuchs vorgesehenen Zeitraum noch fortbesteht, oder die eine Erlaubnis nach den §§ 20, 21 oder den §§ 20, 22 des Kapitalanlagegesetzbuchs hat, oder die von einer EU-Verwaltungsgesellschaft ausgegeben werden, die eine Erlaubnis nach Artikel 6 der Richtlinie 2009/65/EG des Europäischen Parlaments und des Rates vom 13. Juli 2009 zur Koordinierung der Rechts- und Verwaltungsvorschriften betreffend bestimmte Organismen für gemeinsame Anlagen in Wertpapieren (OGAW) (ABl. L 302 vom 17.11.2009, S. 32, L 269 vom 13.10.2010, S. 27), die zuletzt durch die Richtlinie 2014/91/EU (ABl. L 257 vom 28.8.2014, S. 186) geändert worden ist, oder nach Artikel 6 der Richtlinie 2011/61/EU des Europäischen Parlaments und des Rates vom 8. Juni 2011 über die Verwalter alternativer Investmentfonds und zur Änderung der Richtlinien 2003/41/EG und 2009/65/EG und der Verordnungen (EG) Nr. 1060/2009 und (EU) Nr. 1095/2010 (ABl. L 174 vom 1.7.2011, S. 1, L 115 vom 27.4.2012, S. 35), die zuletzt durch die Richtlinie 2014/65/EU (ABl. L 173 vom 12.6.2014, S. 349, L 74 vom 18.3.2015, S. 38) geändert worden ist, hat, oder auf Anteile oder Aktien an EU-Investmentvermögen oder ausländischen AIF, die nach dem Kapitalanlagegesetzbuch vertrieben werden dürfen, mit Ausnahme solcher AIF, die nach § 330a des Kapitalanlagegesetzbuchs vertrieben werden dürfen, oder auf Vermögensanlagen im Sinne des § 1 Absatz 2 des Vermögensanlagengesetzes, die erstmals öffentlich angeboten werden, beschränken und die Unternehmen nicht befugt sind, sich bei der Erbringung dieser Finanzdienstleistungen Eigentum oder Besitz an Geldern oder Anteilen von Kunden zu verschaffen, es sei denn, das Unternehmen beantragt und erhält eine entsprechende Erlaubnis nach § 32 Absatz 1 des Kreditwesengesetzes oder § 15 Absatz 1 des Wertpapierinstitutsgesetzes; Anteile oder Aktien an Hedgefonds im Sinne des § 283 des Kapitalanlagegesetzbuchs gelten nicht als Anteile an Investmentvermögen im Sinne dieser Vorschrift,</w:t>
      </w:r>
    </w:p>
    <w:p>
      <w:pPr>
        <w:ind w:left="420"/>
      </w:pPr>
      <w:r>
        <w:t xml:space="preserve">8. Unternehmen, die bezüglich Warenderivaten, Emissionszertifikaten oder Derivaten auf Emissionszertifikate Eigengeschäft oder Market-Making betreiben oder ausschließlich Wertpapierdienstleistungen im Sinne des § 2 Absatz 8 Nummer 1 und 3 bis 10 gegenüber den Kunden und Zulieferern ihrer Haupttätigkeit erbringen, sofern</w:t>
      </w:r>
    </w:p>
    <w:p>
      <w:pPr>
        <w:ind w:left="780"/>
      </w:pPr>
      <w:r>
        <w:t xml:space="preserve">a) diese Tätigkeiten in jedem dieser Fälle sowohl auf individueller als auch auf auf Ebene der Unternehmensgruppe aggregierter Basis eine Nebentätigkeit zur Haupttätigkeit darstellen; die Kriterien, wann eine Nebentätigkeit vorliegt, werden in einem auf der Grundlage von Artikel 2 Absatz 4 und Artikel 89 der Richtlinie 2014/65/EU in der jeweils geltenden Fassung erlassenen delegierten Rechtsakt bestimmt,</w:t>
      </w:r>
    </w:p>
    <w:p>
      <w:pPr>
        <w:ind w:left="780"/>
      </w:pPr>
      <w:r>
        <w:t xml:space="preserve">b) das Unternehmen nicht Teil einer Unternehmensgruppe ist, deren Haupttätigkeit in der Erbringung von Wertpapierdienstleistungen im Sinne des § 2 Absatz 8 Satz 1 Nummer 1, 2 Buchstabe b bis d, Nummer 3 bis 10 oder Satz 2, oder in der Tätigkeit als Market Maker in Bezug auf Warenderivate oder in der Erbringung von Bankgeschäften im Sinne des § 1 Absatz 1 Satz 2 des Kreditwesengesetzes besteht,</w:t>
      </w:r>
    </w:p>
    <w:p>
      <w:pPr>
        <w:ind w:left="780"/>
      </w:pPr>
      <w:r>
        <w:t xml:space="preserve">c) das Unternehmen keine hochfrequente algorithmische Handelstechnik anwendet,</w:t>
      </w:r>
    </w:p>
    <w:p>
      <w:pPr>
        <w:ind w:left="780"/>
      </w:pPr>
      <w:r>
        <w:t xml:space="preserve">d) das Unternehmen der Bundesanstalt auf Anforderung die Umstände mitteilt, auf Grund derer es zu der Auffassung gelangt, dass seine Tätigkeit eine Nebentätigkeit zu seiner Haupttätigkeit darstellt,</w:t>
      </w:r>
    </w:p>
    <w:p>
      <w:pPr>
        <w:ind w:left="780"/>
      </w:pPr>
      <w:r>
        <w:t xml:space="preserve">e) das Unternehmen auf Anforderung der Bundesanstalt unverzüglich mitteilt, auf Grund welcher Tatsachen und Berechnungsverfahren gemäß der Delegierten Verordnung (EU) 2017/592 es die Ausnahme in Anspruch nimmt,</w:t>
      </w:r>
    </w:p>
    <w:p>
      <w:pPr>
        <w:ind w:left="420"/>
      </w:pPr>
      <w:r>
        <w:t xml:space="preserve">9. Unternehmen, die Wertpapierdienstleistungen ausschließlich in Bezug auf Warenderivate, Emissionszertifikate oder Derivate auf Emissionszertifikate mit dem alleinigen Ziel der Absicherung der Geschäftsrisiken ihrer Kunden erbringen, sofern diese Kunden</w:t>
      </w:r>
    </w:p>
    <w:p>
      <w:pPr>
        <w:ind w:left="780"/>
      </w:pPr>
      <w:r>
        <w:t xml:space="preserve">a) ausschließlich lokale Elektrizitätsunternehmen im Sinne des Artikels 2 Nummer 35 der Richtlinie 2009/72/EG des Europäischen Parlaments und des Rates vom 13. Juli 2009 über gemeinsame Vorschriften für den Elektrizitätsbinnenmarkt und zur Aufhebung der Richtlinie 2003/54/EG (ABl. L 211 vom 14.8.2009, S. 55) oder Erdgasunternehmen im Sinne des Artikels 2 Nummer 1 der Richtlinie 2009/73/EG des Europäischen Parlaments und des Rates vom 13. Juli 2009 über gemeinsame Vorschriften für den Erdgasbinnenmarkt und zur Aufhebung der Richtlinie 2003/55/EG (ABl. L 211 vom 14.8.2009, S. 94) sind,</w:t>
      </w:r>
    </w:p>
    <w:p>
      <w:pPr>
        <w:ind w:left="780"/>
      </w:pPr>
      <w:r>
        <w:t xml:space="preserve">b) zusammen 100 Prozent des Kapitals oder der Stimmrechte der betreffenden Unternehmen halten und dieses gemeinsam kontrollieren und</w:t>
      </w:r>
    </w:p>
    <w:p>
      <w:pPr>
        <w:ind w:left="780"/>
      </w:pPr>
      <w:r>
        <w:t xml:space="preserve">c) nach Nummer 8 ausgenommen wären, wenn sie die betreffenden Wertpapierdienstleistungen selbst erbrächten,</w:t>
      </w:r>
    </w:p>
    <w:p>
      <w:pPr>
        <w:ind w:left="420"/>
      </w:pPr>
      <w:r>
        <w:t xml:space="preserve">10. Unternehmen, die Wertpapierdienstleistungen ausschließlich in Bezug auf Emissionszertifikate oder Derivate auf Emissionszertifikate mit dem alleinigen Ziel der Absicherung der Geschäftsrisiken ihrer Kunden erbringen, sofern diese Kunden</w:t>
      </w:r>
    </w:p>
    <w:p>
      <w:pPr>
        <w:ind w:left="780"/>
      </w:pPr>
      <w:r>
        <w:t xml:space="preserve">a) ausschließlich Anlagenbetreiber im Sinne des § 3 Nummer 2 des Treibhausgas-Emissionshandelsgesetzes sind,</w:t>
      </w:r>
    </w:p>
    <w:p>
      <w:pPr>
        <w:ind w:left="780"/>
      </w:pPr>
      <w:r>
        <w:t xml:space="preserve">b) zusammen 100 Prozent des Kapitals oder der Stimmrechte der betreffenden Unternehmen halten und dieses gemeinsam kontrollieren und</w:t>
      </w:r>
    </w:p>
    <w:p>
      <w:pPr>
        <w:ind w:left="780"/>
      </w:pPr>
      <w:r>
        <w:t xml:space="preserve">c) nach Nummer 8 ausgenommen wären, wenn sie die betreffenden Wertpapierdienstleistungen selbst erbrächten,</w:t>
      </w:r>
    </w:p>
    <w:p>
      <w:pPr>
        <w:ind w:left="420"/>
      </w:pPr>
      <w:r>
        <w:t xml:space="preserve">11. Unternehmen, die ausschließlich Eigengeschäft mit anderen Finanzinstrumenten als Warenderivaten, Emissionszertifikaten oder Derivaten auf Emissionszertifikate betreiben, die keine anderen Wertpapierdienstleistungen erbringen, einschließlich keiner anderen Anlagetätigkeiten, in anderen Finanzinstrumenten als Warenderivaten, Emissionszertifikaten oder Derivaten auf Emissionszertifikate, es sei denn,</w:t>
      </w:r>
    </w:p>
    <w:p>
      <w:pPr>
        <w:ind w:left="780"/>
      </w:pPr>
      <w:r>
        <w:t xml:space="preserve">a) es handelt sich bei diesen Unternehmen um Market Maker,</w:t>
      </w:r>
    </w:p>
    <w:p>
      <w:pPr>
        <w:ind w:left="780"/>
      </w:pPr>
      <w:r>
        <w:t xml:space="preserve">b) die Unternehmen sind entweder Mitglied oder Teilnehmer eines organisierten Marktes oder eines multilateralen Handelssystems, mit Ausnahme von nichtfinanziellen Stellen, die an einem Handelsplatz zum Zweck des Liquiditätsmanagements Geschäfte tätigen oder die in objektiv messbarer Weise die direkt mit der Geschäftstätigkeit oder dem Liquiditäts- und Finanzmanagement verbundenen Risiken dieser nichtfinanziellen Stellen oder ihrer Gruppen verringern,</w:t>
      </w:r>
    </w:p>
    <w:p>
      <w:pPr>
        <w:ind w:left="780"/>
      </w:pPr>
      <w:r>
        <w:t xml:space="preserve">c) die Unternehmen wenden eine hochfrequente algorithmische Handelstechnik an oder</w:t>
      </w:r>
    </w:p>
    <w:p>
      <w:pPr>
        <w:ind w:left="780"/>
      </w:pPr>
      <w:r>
        <w:t xml:space="preserve">d) die Unternehmen betreiben Eigengeschäft bei der Ausführung von Kundenaufträgen,</w:t>
      </w:r>
    </w:p>
    <w:p>
      <w:pPr>
        <w:ind w:left="420"/>
      </w:pPr>
      <w:r>
        <w:t xml:space="preserve">12. Unternehmen, die als Wertpapierdienstleistung ausschließlich die Anlageberatung im Rahmen einer anderen beruflichen Tätigkeit erbringen, ohne sich die Anlageberatung gesondert vergüten zu lassen,</w:t>
      </w:r>
    </w:p>
    <w:p>
      <w:pPr>
        <w:ind w:left="420"/>
      </w:pPr>
      <w:r>
        <w:t xml:space="preserve">13. Börsenträger oder Betreiber organisierter Märkte, die neben dem Betrieb eines multilateralen oder organisierten Handelssystems keine anderen Wertpapierdienstleistungen im Sinne des § 2 Absatz 8 Satz 1 erbringen,</w:t>
      </w:r>
    </w:p>
    <w:p>
      <w:pPr>
        <w:ind w:left="420"/>
      </w:pPr>
      <w:r>
        <w:t xml:space="preserve">14. Unternehmen, die das Platzierungsgeschäft ausschließlich für Anbieter oder für Emittenten von Vermögensanlagen im Sinne des § 1 Absatz 2 des Vermögensanlagengesetzes erbringen,</w:t>
      </w:r>
    </w:p>
    <w:p>
      <w:pPr>
        <w:ind w:left="420"/>
      </w:pPr>
      <w:r>
        <w:t xml:space="preserve">15. Betreiber im Sinne des § 3 Nummer 4 des Treibhausgas-Emissionshandelsgesetzes, wenn sie beim Handel mit Emissionszertifikaten</w:t>
      </w:r>
    </w:p>
    <w:p>
      <w:pPr>
        <w:ind w:left="780"/>
      </w:pPr>
      <w:r>
        <w:t xml:space="preserve">a) ausschließlich Eigengeschäft betreiben,</w:t>
      </w:r>
    </w:p>
    <w:p>
      <w:pPr>
        <w:ind w:left="780"/>
      </w:pPr>
      <w:r>
        <w:t xml:space="preserve">b) keine Anlagevermittlung und keine Abschlussvermittlung betreiben,</w:t>
      </w:r>
    </w:p>
    <w:p>
      <w:pPr>
        <w:ind w:left="780"/>
      </w:pPr>
      <w:r>
        <w:t xml:space="preserve">c) keine hochfrequente algorithmische Handelstechnik anwenden und</w:t>
      </w:r>
    </w:p>
    <w:p>
      <w:pPr>
        <w:ind w:left="780"/>
      </w:pPr>
      <w:r>
        <w:t xml:space="preserve">d) keine anderen Wertpapierdienstleistungen erbringen,</w:t>
      </w:r>
    </w:p>
    <w:p>
      <w:pPr>
        <w:ind w:left="420"/>
      </w:pPr>
      <w:r>
        <w:t xml:space="preserve">16. Übertragungsnetzbetreiber im Sinne des Artikels 2 Nummer 4 der Richtlinie 2009/72/EG oder des Artikels 2 Nummer 4 der Richtlinie 2009/73/EG, wenn sie ihre Aufgaben gemäß diesen Richtlinien, gemäß der Verordnung (EG) Nr. 714/2009 des Europäischen Parlaments und des Rates vom 13. Juli 2009 über die Netzzugangsbedingungen für den grenzüberschreitenden Stromhandel und zur Aufhebung der Verordnung (EG) Nr. 1228/2003 (ABl. L 211 vom 14.8.2009, S. 15), die zuletzt durch die Verordnung (EU) Nr. 543/2013 (ABl. L 163 vom 15.6.2013, S. 1) geändert worden ist, gemäß der Verordnung (EG) Nr. 715/2009 des Europäischen Parlaments und des Rates vom 13. Juli 2009 über die Bedingungen für den Zugang zu den Erdgasfernleitungsnetzen und zur Aufhebung der Verordnung (EG) Nr. 1775/2005 (ABl. L 211 vom 14.8.2009, S. 36; L 229 vom 1.9.2009, S. 29; L 309 vom 24.11.2009, S. 87), die zuletzt durch den Beschluss (EU) 2015/715 (ABl. L 114 vom 5.5.2015, S. 9) geändert worden ist, sowie gemäß den nach diesen Verordnungen erlassenen Netzcodes oder Leitlinien wahrnehmen, Personen, die in ihrem Namen als Dienstleister handeln, um die Aufgaben eines Übertragungsnetzbetreibers gemäß diesen Gesetzgebungsakten sowie gemäß den nach diesen Verordnungen erlassenen Netzcodes oder Leitlinien wahrzunehmen, sowie Betreiber oder Verwalter eines Energieausgleichssystems, eines Rohrleitungsnetzes oder eines Systems zum Ausgleich von Energieangebot und -verbrauch bei der Wahrnehmung solcher Aufgaben, sofern sie die Wertpapierdienstleistung in Bezug auf Warenderivate, die mit dieser Tätigkeit in Zusammenhang stehen, erbringen und sofern sie weder einen Sekundärmarkt noch eine Plattform für den Sekundärhandel mit finanziellen Übertragungsrechten betreiben,</w:t>
      </w:r>
    </w:p>
    <w:p>
      <w:pPr>
        <w:ind w:left="420"/>
      </w:pPr>
      <w:r>
        <w:t xml:space="preserve">17. Zentralverwahrer im Sinne des Artikels 2 Absatz 1 Nummer 1 der Verordnung (EU) Nr. 909/2014, soweit sie die in den Abschnitten A und B des Anhangs dieser Verordnung genannten Dienstleistungen erbringen,</w:t>
      </w:r>
    </w:p>
    <w:p>
      <w:pPr>
        <w:ind w:left="420"/>
      </w:pPr>
      <w:r>
        <w:t xml:space="preserve">18. Kapitalverwaltungsgesellschaften, EU-Verwaltungsgesellschaften und extern verwaltete Investmentgesellschaften, sofern sie nur die kollektive Vermögensverwaltung oder neben der kollektiven Vermögensverwaltung ausschließlich die in § 20 Absatz 2 und 3 des Kapitalanlagegesetzbuchs aufgeführten Dienstleistungen oder Nebendienstleistungen erbringen und</w:t>
      </w:r>
    </w:p>
    <w:p>
      <w:pPr>
        <w:ind w:left="420"/>
      </w:pPr>
      <w:r>
        <w:t xml:space="preserve">19. Schwarmfinanzierungsdienstleister im Sinne von Artikel 2 Absatz 1 Buchstabe e der Verordnung (EU) 2020/1503, soweit sie Schwarmfinanzierungsdienstleistungen im Sinne von Artikel 2 Absatz 1 Buchstabe a der Verordnung (EU) 2020/1503 erbringen.</w:t>
      </w:r>
    </w:p>
    <w:p>
      <w:r>
        <w:t xml:space="preserve">Unternehmen, die die Voraussetzungen des Satzes 1 Nummer 9 und 10 erfüllen, haben dies der Bundesanstalt jährlich anzuzeigen.</w:t>
      </w:r>
    </w:p>
    <w:p>
      <w:r>
        <w:t xml:space="preserve">(2) Ein Unternehmen, das als vertraglich gebundener Vermittler im Sinne des § 2 Absatz 10 Satz 1 des Kreditwesengesetzes oder des § 3 Absatz 2 Satz 1 des Wertpapierinstitutsgesetzes als Wertpapierdienstleistung nur die Anlagevermittlung, das Platzieren von Finanzinstrumenten ohne feste Übernahmeverpflichtung oder Anlageberatung erbringt, gilt nicht als Wertpapierdienstleistungsunternehmen. Seine Tätigkeit wird dem Institut oder Unternehmen zugerechnet, für dessen Rechnung und unter dessen Haftung es seine Tätigkeit erbringt.</w:t>
      </w:r>
    </w:p>
    <w:p>
      <w:r>
        <w:t xml:space="preserve">(3) Für Unternehmen, die Mitglieder oder Teilnehmer von organisierten Märkten oder multilateralen Handelssystemen sind und die von der Ausnahme nach Absatz 1 Nummer 4, 8 oder 15 Gebrauch machen, gelten die §§ 77, 78 und 80 Absatz 2 und 3 entsprechend. Für Unternehmen, die von einer Ausnahme nach Absatz 1 Nummer 9 oder 10 Gebrauch machen, gelten die §§ 63 bis 83 und 85 bis 92 sowie Artikel 26 der Verordnung (EU) Nr. 600/2014 entsprechend.</w:t>
      </w:r>
    </w:p>
    <w:p>
      <w:r>
        <w:t xml:space="preserve">(4) Das Bundesministerium der Finanzen kann durch Rechtsverordnung nähere Bestimmungen über Zeitpunkt, Inhalt und Form der Einreichung der Anzeige nach Absatz 1 Satz 2 sowie die Führung eines öffentlichen Registers über die anzeigenden Unternehmen erlassen. Das Bundesministerium der Finanzen kann die Ermächtigung durch Rechtsverordnung auf die Bundesanstalt übertragen.</w:t>
      </w:r>
    </w:p>
    <w:p>
      <w:r>
        <w:rPr>
          <w:color w:val="555555"/>
          <w:sz w:val="17"/>
        </w:rPr>
        <w:t xml:space="preserve">Zitiervorschlag: § 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