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WpHG — Zuständigkeit im Sinne der Verordnung (EG) Nr. 1060/2009</w:t>
      </w:r>
    </w:p>
    <w:p>
      <w:r>
        <w:rPr>
          <w:color w:val="555555"/>
          <w:sz w:val="18"/>
        </w:rPr>
        <w:t xml:space="preserve">Wertpapierhandelsgesetz</w:t>
      </w:r>
    </w:p>
    <w:p>
      <w:r>
        <w:rPr>
          <w:color w:val="555555"/>
          <w:sz w:val="18"/>
        </w:rPr>
        <w:t xml:space="preserve">Stand: 24.07.2019 (konsolidierte Textfassung, kein amtliches Inkrafttretensdatum)</w:t>
      </w:r>
    </w:p>
    <w:p>
      <w:r>
        <w:t xml:space="preserve">(1) Die Bundesanstalt ist zuständige Behörde im Sinne des Artikels 22 der Verordnung (EG) Nr. 1060/2009 des Europäischen Parlaments und des Rates vom 16. September 2009 über Ratingagenturen (ABl. L 302 vom 17.11.2009, S. 1), die zuletzt durch die Verordnung (EU) Nr. 462/2013 (ABl. L 146 vom 31.5.2013, S. 1) geändert worden ist, in der jeweils geltenden Fassung.</w:t>
      </w:r>
    </w:p>
    <w:p>
      <w:r>
        <w:t xml:space="preserve">(2) Für Wertpapierdienstleistungsunternehmen ist die Bundesanstalt nach diesem Gesetz sektoral zuständige Behörde im Sinne des Artikels 25a der Verordnung (EG) Nr. 1060/2009 in der jeweils geltenden Fassung, soweit diese Unternehmen bei der Erbringung von Wertpapierdienstleistungen oder Wertpapiernebendienstleistungen Ratings verwenden.</w:t>
      </w:r>
    </w:p>
    <w:p>
      <w:r>
        <w:t xml:space="preserve">(3) Soweit in der Verordnung (EG) Nr. 1060/2009 in der jeweils geltenden Fassung oder den auf ihrer Grundlage erlassenen Rechtsakten nichts Abweichendes geregelt ist, sind die §§ 2, 3, 6 bis 13, 17 Absatz 2, § 18 mit Ausnahme von Absatz 7 Satz 5 bis 8, § 21 mit Ausnahme von Absatz 1 Satz 3 bis 5 für die Ausübung der Aufsicht durch die Bundesanstalt nach den Absätzen 1, 2 und 5 entsprechend anzuwenden.</w:t>
      </w:r>
    </w:p>
    <w:p>
      <w:r>
        <w:t xml:space="preserve">(4) Widerspruch und Anfechtungsklage gegen Maßnahmen der Bundesanstalt nach den Absätzen 1 und 2, auch aufgrund oder in Verbindung mit der Verordnung (EG) Nr. 1060/2009 in der jeweils geltenden Fassung oder den auf ihrer Grundlage erlassenen Rechtsakten, haben keine aufschiebende Wirkung.</w:t>
      </w:r>
    </w:p>
    <w:p>
      <w:r>
        <w:t xml:space="preserve">(5) Zulassungsantragsteller im Sinne von § 2 Nummer 7 und Anbieter im Sinne von § 2 Nummer 6 des Wertpapierprospektgesetzes, die einen Antrag auf Billigung eines Prospekts im Sinne der Verordnung (EU) 2017/1129 für ein öffentliches Angebot oder die Zulassung zum Handel von strukturierten Finanzinstrumenten im Sinne der Artikel 8b oder Artikel 8c der Verordnung (EG) Nr. 1060/2009 in der jeweils geltenden Fassung oder einer Emission im Sinne des Artikels 8d der Verordnung (EG) Nr. 1060/2009 in der jeweils geltenden Fassung bei der Bundesanstalt stellen und zugleich Emittent dieses strukturierten Finanzinstruments oder dieser Emission sind, haben der Bundesanstalt mit der Stellung des Billigungsantrags eine Erklärung beizufügen, dass sie die auf sie anwendbaren Pflichten aus den Artikeln 8b, 8c oder Artikel 8d der Verordnung (EG) Nr. 1060/2009 in der jeweils geltenden Fassung erfüllen. Die Wirksamkeit des Billigungsantrags bleibt von der ordnungsgemäßen Abgabe dieser Erklärung unberührt.</w:t>
      </w:r>
    </w:p>
    <w:p>
      <w:r>
        <w:rPr>
          <w:color w:val="555555"/>
          <w:sz w:val="17"/>
        </w:rPr>
        <w:t xml:space="preserve">Zitiervorschlag: § 29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