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WpHG — Anwendung der Verordnung (EU) Nr. 596/2014 auf Waren und ausländische Zahlungsmittel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15 in Verbindung mit Artikel 12 Absatz 1 bis 4 der Verordnung (EU) Nr. 596/2014 gilt entsprechend für</w:t>
      </w:r>
    </w:p>
    <w:p>
      <w:pPr>
        <w:ind w:left="420"/>
      </w:pPr>
      <w:r>
        <w:t xml:space="preserve">1. Waren im Sinne des § 2 Absatz 5 und</w:t>
      </w:r>
    </w:p>
    <w:p>
      <w:pPr>
        <w:ind w:left="420"/>
      </w:pPr>
      <w:r>
        <w:t xml:space="preserve">2. ausländische Zahlungsmittel im Sinne des § 51 des Börsengesetzes,</w:t>
      </w:r>
    </w:p>
    <w:p>
      <w:r>
        <w:t xml:space="preserve">die an einer inländischen Börse oder einem vergleichbaren Markt in einem anderen Mitgliedstaat der Europäischen Union oder in einem anderen Vertragsstaat des Abkommens über den Europäischen Wirtschaftsraum gehandelt werden.</w:t>
      </w:r>
    </w:p>
    <w:p>
      <w:r>
        <w:rPr>
          <w:color w:val="555555"/>
          <w:sz w:val="17"/>
        </w:rPr>
        <w:t xml:space="preserve">Zitiervorschlag: § 25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