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WpHG — Verschwiegenheitspflicht</w:t>
      </w:r>
    </w:p>
    <w:p>
      <w:r>
        <w:rPr>
          <w:color w:val="555555"/>
          <w:sz w:val="18"/>
        </w:rPr>
        <w:t xml:space="preserve">Wertpapierhandelsgesetz</w:t>
      </w:r>
    </w:p>
    <w:p>
      <w:r>
        <w:rPr>
          <w:color w:val="555555"/>
          <w:sz w:val="18"/>
        </w:rPr>
        <w:t xml:space="preserve">Stand: 15.12.2023 (konsolidierte Textfassung, kein amtliches Inkrafttretensdatum)</w:t>
      </w:r>
    </w:p>
    <w:p>
      <w:r>
        <w:t xml:space="preserve">(1) Die bei der Bundesanstalt Beschäftigten und die nach § 4 Abs. 3 des Finanzdienstleistungsaufsichtsgesetzes beauftragten Personen dürfen die ihnen bei ihrer Tätigkeit bekannt gewordenen Tatsachen, deren Geheimhaltung im Interesse eines nach diesem Gesetz Verpflichteten, der zuständigen Behörden oder eines Dritten liegt, insbesondere Geschäfts- und Betriebsgeheimnisse sowie personenbezogene Daten, nicht unbefugt offenbaren oder verwenden, auch wenn sie nicht mehr im Dienst sind oder ihre Tätigkeit beendet ist. Dies gilt auch für andere Personen, die durch dienstliche Berichterstattung Kenntnis von den in Satz 1 bezeichneten Tatsachen erhalten. Ein unbefugtes Offenbaren oder Verwenden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Börsen oder anderen Märkten, an denen Finanzinstrumente gehandelt werden, des Handels mit Finanzinstrumenten oder Devisen, von Kreditinstituten, Finanzdienstleistungsinstituten, Wertpapierinstituten, Kapitalverwaltungsgesellschaften, extern verwaltete Investmentgesellschaften, EU-Verwaltungsgesellschaften oder ausländische AIF-Verwaltungsgesellschaften, Finanzunternehmen, Versicherungsunternehmen, Versicherungsvermittlern, Unternehmen im Sinne von § 3 Absatz 1 Nummer 7 oder Mitarbeitern im Sinne des § 87 Absatz 1 bis 5 betraute Stellen sowie von diesen beauftragte Personen,</w:t>
      </w:r>
    </w:p>
    <w:p>
      <w:pPr>
        <w:ind w:left="420"/>
      </w:pPr>
      <w:r>
        <w:t xml:space="preserve">3. Zentralbanken in ihrer Eigenschaft als Währungsbehörden sowie an andere staatliche Behörden, die mit der Überwachung der Zahlungssysteme betraut sind,</w:t>
      </w:r>
    </w:p>
    <w:p>
      <w:pPr>
        <w:ind w:left="420"/>
      </w:pPr>
      <w:r>
        <w:t xml:space="preserve">4. mit der Liquidation oder dem Insolvenzverfahren über das Vermögen eines Wertpapierdienstleistungsunternehmens, eines organisierten Marktes oder des Betreibers eines organisierten Marktes befasste Stellen,</w:t>
      </w:r>
    </w:p>
    <w:p>
      <w:pPr>
        <w:ind w:left="420"/>
      </w:pPr>
      <w:r>
        <w:t xml:space="preserve">5. die Europäische Zentralbank, das Europäische System der Zentralbanken, die Europäische Wertpapier- und Marktaufsichtsbehörde, die Europäische Aufsichtsbehörde für das Versicherungswesen und die betriebliche Altersversorgung, die Europäische Bankenaufsichtsbehörde, den Gemeinsamen Ausschuss der Europäischen Finanzaufsichtsbehörden, den Europäischen Ausschuss für Systemrisiken oder die Europäische Kommission,</w:t>
      </w:r>
    </w:p>
    <w:p>
      <w:pPr>
        <w:ind w:left="420"/>
      </w:pPr>
      <w:r>
        <w:t xml:space="preserve">7. zuständige Behörden im Sinne von Artikel 2 Absatz 1 Buchstabe r der Verordnung (EU) 2020/1503,</w:t>
      </w:r>
    </w:p>
    <w:p>
      <w:r>
        <w:t xml:space="preserve">soweit diese Stellen die Informationen zur Erfüllung ihrer Aufgaben benötigen. Für die bei den in Satz 3 Nummer 1 bis 4 genannten Stellen beschäftigten Personen sowie von diesen Stellen beauftragten Personen gilt die Verschwiegenheitspflicht nach Satz 1 entsprechend. Befindet sich eine in Satz 3 Nummer 1 bis 4 genannte Stelle in einem anderen Staat, so dürfen die Tatsachen nur weitergegeben werden, wenn die bei dieser Stelle beschäftigten und die von dieser Stelle beauftragten Personen einer dem Satz 1 entsprechenden Verschwiegenheitspflicht unterliegen.</w:t>
      </w:r>
    </w:p>
    <w:p>
      <w:r>
        <w:t xml:space="preserve">(2) Die §§ 93, 97 und 105 Absatz 1, § 111 Absatz 5 in Verbindung mit § 105 Absatz 1 sowie § 116 Absatz 1 der Abgabenordnung gelten für die in Absatz 1 Satz 1 und 2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2 bezeichneten Personen durch eine Stelle eines anderen Staates im Sinne von Absatz 1 Satz 3 Nummer 2 oder durch von dieser Stelle beauftragte Personen mitgeteilt worden sind oder</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und die nach den Regeln der Europäischen Zentralbank geheim sind.</w:t>
      </w:r>
    </w:p>
    <w:p>
      <w:r>
        <w:rPr>
          <w:color w:val="555555"/>
          <w:sz w:val="17"/>
        </w:rPr>
        <w:t xml:space="preserve">Zitiervorschlag: § 21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