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WpHG — Zusammenarbeit mit der Europäischen Wertpapier- und Marktaufsichtsbehörde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Bundesanstalt stellt der Europäischen Wertpapier- und Marktaufsichtsbehörde gemäß den Artikeln 35 und 36 der Verordnung (EU) Nr. 1095/2010 auf Verlangen unverzüglich alle für die Erfüllung ihrer Aufgaben erforderlichen Informationen zur Verfügung.</w:t>
      </w:r>
    </w:p>
    <w:p>
      <w:r>
        <w:t xml:space="preserve">(2) Die Bundesanstalt übermittelt der Europäischen Wertpapier- und Marktaufsichtsbehörde jährlich eine Zusammenfassung von Informationen zu allen im Zusammenhang mit der Überwachung nach den Abschnitten 9 bis 11 ergriffenen Verwaltungsmaßnahmen und verhängten Sanktionen.</w:t>
      </w:r>
    </w:p>
    <w:p>
      <w:r>
        <w:t xml:space="preserve">(3) Die Bundesanstalt unterrichtet die Europäische Wertpapier- und Marktaufsichtsbehörde über das Erlöschen einer Erlaubnis nach § 4 Absatz 4 des Börsengesetzes und die Aufhebung einer Erlaubnis nach § 4 Absatz 5 des Börsengesetzes oder nach den Vorschriften der Verwaltungsverfahrensgesetze der Länder.</w:t>
      </w:r>
    </w:p>
    <w:p>
      <w:r>
        <w:t xml:space="preserve">(4) Die Bundesanstalt übermittelt der Europäischen Wertpapier- und Marktaufsichtsbehörde und den zuständigen Behörden der anderen Mitgliedstaaten der Europäischen Union und der Vertragsstaaten des Abkommens über den Europäischen Wirtschaftsraum die nach § 72 Absatz 6 dieses Gesetzes, § 7 Absatz 5 Satz 5 des Börsengesetzes sowie § 8 Absatz 4a des Börsengesetzes übermittelten Informationen. Im Falle von Anhaltspunkten für Verstöße gegen die Vorschriften der Verordnung (EU) Nr. 596/2014 übermittelt die Bundesanstalt Informationen erst dann, wenn sie von einem Verstoß überzeugt ist.</w:t>
      </w:r>
    </w:p>
    <w:p>
      <w:r>
        <w:rPr>
          <w:color w:val="555555"/>
          <w:sz w:val="17"/>
        </w:rPr>
        <w:t xml:space="preserve">Zitiervorschlag: § 19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