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WpHG — Übergangsvorschrift zum Zukunftsfinanzierungsgesetz</w:t>
      </w:r>
    </w:p>
    <w:p>
      <w:r>
        <w:rPr>
          <w:color w:val="555555"/>
          <w:sz w:val="18"/>
        </w:rPr>
        <w:t xml:space="preserve">Wertpapierhandelsgesetz</w:t>
      </w:r>
    </w:p>
    <w:p>
      <w:r>
        <w:rPr>
          <w:color w:val="555555"/>
          <w:sz w:val="18"/>
        </w:rPr>
        <w:t xml:space="preserve">Stand: 15.12.2023 (konsolidierte Textfassung, kein amtliches Inkrafttretensdatum)</w:t>
      </w:r>
    </w:p>
    <w:p>
      <w:r>
        <w:t xml:space="preserve">Auf die Haftung für fehlerhafte Anlagebasisinformationsblätter sind die §§ 32c bis 32e in der bis einschließlich 14. Dezember 2023 geltenden Fassung weiter anzuwenden, wenn der Vertrag über die Gewährung des Kredits oder den Erwerb des Wertpapiers oder des für Schwarmfinanzierungszwecke verwendeten Instruments oder über die individuelle Kreditportfolioverwaltung vor dem 15. Dezember 2023 zustande gekommen ist.</w:t>
      </w:r>
    </w:p>
    <w:p>
      <w:r>
        <w:rPr>
          <w:color w:val="555555"/>
          <w:sz w:val="17"/>
        </w:rPr>
        <w:t xml:space="preserve">Zitiervorschlag: § 143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