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WpHG — Übergangsvorschrift zum Gesetz zur weiteren Umsetzung der Transparenzrichtlinie-Änderungsrichtlinie im Hinblick auf ein einheitliches elektronisches Format für Jahresfinanzberichte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20.08.2020 (konsolidierte Textfassung, kein amtliches Inkrafttretensdatum)</w:t>
      </w:r>
    </w:p>
    <w:p>
      <w:r>
        <w:t xml:space="preserve">Die §§ 106, 107, 114 und 120 in der ab dem 19. August 2020 geltenden Fassung sind erstmals auf Jahres-, Einzel- und Konzernabschlüsse sowie Jahresfinanzberichte mit Abschlüssen für das nach dem 31. Dezember 2019 beginnende Geschäftsjahr anzuwenden. Die in Satz 1 bezeichneten Vorschriften in der bis einschließlich 18. August 2020 geltenden Fassung sind letztmals anzuwenden auf Jahres-, Einzel- und Konzernabschlüsse sowie Jahresfinanzberichte mit Abschlüssen für das vor dem 1. Januar 2020 beginnende Geschäftsjahr.</w:t>
      </w:r>
    </w:p>
    <w:p>
      <w:r>
        <w:rPr>
          <w:color w:val="555555"/>
          <w:sz w:val="17"/>
        </w:rPr>
        <w:t xml:space="preserve">Zitiervorschlag: § 140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