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WpHG — Übergangsvorschriften zum Gesetz zur weiteren Ausführung der EU-Prospektverordnung und zur Änderung von Finanzmarktgesetzen</w:t>
      </w:r>
    </w:p>
    <w:p>
      <w:r>
        <w:rPr>
          <w:color w:val="555555"/>
          <w:sz w:val="18"/>
        </w:rPr>
        <w:t xml:space="preserve">Wertpapierhandelsgesetz</w:t>
      </w:r>
    </w:p>
    <w:p>
      <w:r>
        <w:rPr>
          <w:color w:val="555555"/>
          <w:sz w:val="18"/>
        </w:rPr>
        <w:t xml:space="preserve">Stand: 24.07.2019 (konsolidierte Textfassung, kein amtliches Inkrafttretensdatum)</w:t>
      </w:r>
    </w:p>
    <w:p>
      <w:r>
        <w:t xml:space="preserve">(1) § 76 Absatz 1 Satz 1 Nummer 3 in der bis zum 20. Juli 2019 geltenden Fassung findet weiterhin Anwendung für den Fall eines Prospekts, der nach dem Wertpapierprospektgesetz in der bis zum 20. Juli 2019 geltenden Fassung gebilligt wurde, solange dieser Prospekt Gültigkeit hat.</w:t>
      </w:r>
    </w:p>
    <w:p>
      <w:r>
        <w:t xml:space="preserve">(2) Hat ein Kreditinstitut vor dem 21. Juli 2019 Schuldtitel begeben, bei denen es nach dem Wertpapierprospektgesetz in der bis zum 20. Juli 2019 geltenden Fassung nicht zur Veröffentlichung eines Prospekts verpflichtet war, findet insoweit § 118 Absatz 2 in der bis zum 20. Juli 2019 geltenden Fassung weiterhin Anwendung.</w:t>
      </w:r>
    </w:p>
    <w:p>
      <w:r>
        <w:rPr>
          <w:color w:val="555555"/>
          <w:sz w:val="17"/>
        </w:rPr>
        <w:t xml:space="preserve">Zitiervorschlag: § 139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