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 WpHG — Übergangsvorschrift zur Richtlinie 2014/65/EU über Märkte für Finanzinstrumente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C.6-Energiederivatkontrakte, die von einer nichtfinanziellen Gegenpartei im Sinne von Artikel 10 Absatz 1 der Verordnung (EU) Nr. 648/2012 oder von nichtfinanziellen Gegenparteien, die nach dem 3. Januar 2018 erstmals als Wertpapierdienstleistungsunternehmen zugelassen worden sind, eingegangen werden, unterliegen bis zum 3. Januar 2021 weder der Clearing-Pflicht nach Artikel 4 der Verordnung (EU) Nr. 648/2012 noch den Risikominderungstechniken nach Artikel 11 Absatz 3 der vorgenannten Verordnung.</w:t>
      </w:r>
    </w:p>
    <w:p>
      <w:r>
        <w:t xml:space="preserve">(2) C.6-Energiederivatkontrakte gelten bis zum 3. Januar 2021 nicht als OTC-Derivatkontrakte für die Zwecke des Clearing-Schwellenwerts nach Artikel 10 Absatz 1 der Verordnung (EU) Nr. 648/2012.</w:t>
      </w:r>
    </w:p>
    <w:p>
      <w:r>
        <w:t xml:space="preserve">(3) C.6-Energiederivatkontrakte unterliegen allen übrigen Anforderungen der Verordnung (EU) Nr. 648/2012.</w:t>
      </w:r>
    </w:p>
    <w:p>
      <w:r>
        <w:t xml:space="preserve">(4) C.6-Energiederivatkontrakt im Sinne dieser Vorschrift ist eine Option, ein Terminkontrakt (Future), ein Swap oder ein anderer in Anhang I Abschnitt C Nummer 6 der Richtlinie 2014/65/EU, in der jeweils geltenden Fassung, genannter Derivatkontrakt in Bezug auf Kohle oder Öl, der an einem organisierten Handelssystem gehandelt werden und effektiv geliefert werden muss.</w:t>
      </w:r>
    </w:p>
    <w:p>
      <w:r>
        <w:t xml:space="preserve">(5) Die Ausnahmen nach den Absätzen 1 und 2 sind bei der Bundesanstalt zu beantragen. Die Bundesanstalt teilt der Europäischen Wertpapier- und Marktaufsichtsbehörde mit, für welche C.6-Energiederivatkontrakte Ausnahmen nach den Absätzen 1 und 2 gewährt worden sind.</w:t>
      </w:r>
    </w:p>
    <w:p>
      <w:r>
        <w:rPr>
          <w:color w:val="555555"/>
          <w:sz w:val="17"/>
        </w:rPr>
        <w:t xml:space="preserve">Zitiervorschlag: § 138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