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137 WpHG — Übergangsvorschrift für Verstöße gegen die §§ 38 und 39 in der bis zum Ablauf des 1. Juli 2016 geltenden Fassung dieses Gesetzes</w:t>
      </w:r>
    </w:p>
    <w:p>
      <w:r>
        <w:rPr>
          <w:color w:val="555555"/>
          <w:sz w:val="18"/>
        </w:rPr>
        <w:t xml:space="preserve">Wertpapierhandelsgesetz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Straftaten nach § 38 in der bis zum Ablauf des 1. Juli 2016 geltenden Fassung werden abweichend von § 2 Absatz 3 des Strafgesetzbuches nach den zum Zeitpunkt der Tat geltenden Bestimmungen geahndet.</w:t>
      </w:r>
    </w:p>
    <w:p>
      <w:r>
        <w:t xml:space="preserve">(2) Ordnungswidrigkeiten nach § 39 in der bis zum Ablauf des 1. Juli 2016 geltenden Fassung können abweichend von § 4 Absatz 3 des Gesetzes über Ordnungswidrigkeiten nach den zum Zeitpunkt der Tat geltenden Bestimmungen geahndet werden.</w:t>
      </w:r>
    </w:p>
    <w:p>
      <w:r>
        <w:rPr>
          <w:color w:val="555555"/>
          <w:sz w:val="17"/>
        </w:rPr>
        <w:t xml:space="preserve">Zitiervorschlag: § 137 WpHG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https://recht.nulegal.eu/gesetze/WpHG/137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