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 WpHG — Übergangsvorschriften zur Verordnung (EU) Nr. 596/2014</w:t>
      </w:r>
    </w:p>
    <w:p>
      <w:r>
        <w:rPr>
          <w:color w:val="555555"/>
          <w:sz w:val="18"/>
        </w:rPr>
        <w:t xml:space="preserve">Wertpapierhandelsgesetz</w:t>
      </w:r>
    </w:p>
    <w:p>
      <w:r>
        <w:rPr>
          <w:color w:val="555555"/>
          <w:sz w:val="18"/>
        </w:rPr>
        <w:t xml:space="preserve">Stand: 10.06.2019 (konsolidierte Textfassung, kein amtliches Inkrafttretensdatum)</w:t>
      </w:r>
    </w:p>
    <w:p>
      <w:r>
        <w:t xml:space="preserve">§ 39 Absatz 3d Nummer 1 in der Fassung dieses Gesetzes vom 30. Juni 2016 (BGBl. I S. 1514) ist bis zu dem Tag, ab dem die Richtlinie 2014/65/EU des Europäischen Parlaments und des Rates vom 15. Mai 2014 über Märkte für Finanzinstrumente sowie zur Änderung der Richtlinien 2002/92/EG und 2011/61/EU (ABl. L 173 vom 12.6.2014, S. 349, L 74 vom 18.3.2015, S. 38), die durch die Verordnung (EU) Nr. 909/2014 (ABl. L 257 vom 28.8.2014, S. 1) geändert worden ist, nach ihrem Artikel 93 angewendet wird, nicht anzuwenden. Bis zum Ablauf des 2. Januar 2018 ist für die Vorschriften dieses Gesetzes die Verordnung (EU) Nr. 596/2014 mit folgender Maßgabe anwendbar:</w:t>
      </w:r>
    </w:p>
    <w:p>
      <w:pPr>
        <w:ind w:left="420"/>
      </w:pPr>
      <w:r>
        <w:t xml:space="preserve">1. Handelsplatz im Sinne des Artikels 3 Absatz 1 Nummer 10 dieser Verordnung ist ein geregelter Markt im Sinne des Artikels 4 Absatz 1 Nummer 14 der Richtlinie 2004/39/EG sowie ein multilaterales Handelssystem im Sinne des Artikels 4 Absatz 1 Nummer 15 der Richtlinie 2004/39/EG;</w:t>
      </w:r>
    </w:p>
    <w:p>
      <w:pPr>
        <w:ind w:left="420"/>
      </w:pPr>
      <w:r>
        <w:t xml:space="preserve">2. algorithmischer Handel im Sinne des Artikels 3 Absatz 1 Nummer 18 dieser Verordnung ist der Handel mit Finanzinstrumenten in der Weise, dass ein Computeralgorithmus die einzelnen Auftragsparameter automatisch bestimmt, ohne dass es sich um ein System handelt, das nur zur Weiterleitung von Aufträgen zu einem oder mehreren Handelsplätzen oder zur Bestätigung von Aufträgen verwendet wird;</w:t>
      </w:r>
    </w:p>
    <w:p>
      <w:pPr>
        <w:ind w:left="420"/>
      </w:pPr>
      <w:r>
        <w:t xml:space="preserve">3. Hochfrequenzhandel im Sinne des Artikels 3 Absatz 1 Nummer 33 dieser Verordnung ist eine hochfrequente algorithmische Handelstechnik, die gekennzeichnet ist durch die Nutzung von Infrastrukturen, die darauf abzielen, Latenzzeiten zu minimieren, durch die Entscheidung des Systems über die Einleitung, das Erzeugen, das Weiterleiten oder die Ausführung eines Auftrags ohne menschliche Intervention für einzelne Geschäfte oder Aufträge und durch ein hohes untertägiges Mitteilungsaufkommen in Form von Aufträgen, Quotes oder Stornierungen.</w:t>
      </w:r>
    </w:p>
    <w:p>
      <w:r>
        <w:rPr>
          <w:color w:val="555555"/>
          <w:sz w:val="17"/>
        </w:rPr>
        <w:t xml:space="preserve">Zitiervorschlag: § 135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