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WpHG — Anwendungsbestimmung für das Gesetz zur Umsetzung der Transparenzrichtlinie-Änderungsrichtlinie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37n, 37o und 37p in der Fassung des Gesetzes vom 20. November 2015 (BGBl. I S. 2029) sind ab dem 1. Januar 2016 anzuwenden.</w:t>
      </w:r>
    </w:p>
    <w:p>
      <w:r>
        <w:t xml:space="preserve">(2) § 37x in der Fassung des Gesetzes vom 20. November 2015 (BGBl. I S. 2029) ist erstmals auf Zahlungsberichte und Konzernzahlungsberichte für ein nach dem 26. November 2015 beginnendes Geschäftsjahr anzuwenden.</w:t>
      </w:r>
    </w:p>
    <w:p>
      <w:r>
        <w:rPr>
          <w:color w:val="555555"/>
          <w:sz w:val="17"/>
        </w:rPr>
        <w:t xml:space="preserve">Zitiervorschlag: § 134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