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WpHG — Anwendungsbestimmung für das Transparenzrichtlinie-Umsetzungsgesetz</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 37n und § 37o Abs. 1 Satz 4 sowie die Bestimmungen des Abschnitts 11 Unterabschnitt 2 in der Fassung des Gesetzes vom 5. Januar 2007 (BGBl. I S. 10) finden erstmals auf Finanzberichte des Geschäftsjahrs Anwendung, das nach dem 31. Dezember 2006 beginnt.</w:t>
      </w:r>
    </w:p>
    <w:p>
      <w:r>
        <w:t xml:space="preserve">(2) Auf Emittenten, von denen lediglich Schuldtitel zum Handel an einem organisierten Markt im Sinne des Artikels 4 Abs. 1 Nr. 14 der Richtlinie 2004/39/EG des Europäischen Parlaments und des Rates vom 21. April 2004 über Märkte für Finanzinstrumente (ABl. EU Nr. L 145 S. 1) in einem Mitgliedstaat der Europäischen Union oder in einem anderen Vertragsstaat des Abkommens über den Europäischen Wirtschaftsraum zugelassen sind, sowie auf Emittenten, deren Wertpapiere zum Handel in einem Drittstaat zugelassen sind und die zu diesem Zweck seit dem Geschäftsjahr, das vor dem 11. September 2002 begann, international anerkannte Rechnungslegungsstandards anwenden, finden § 37w Abs. 3 Satz 2 und § 37y Nr. 2 in der Fassung des Gesetzes vom 5. Januar 2007 (BGBl. I S. 10) mit der Maßgabe Anwendung, dass der Emittent für vor dem 31. Dezember 2007 beginnende Geschäftsjahre die Rechnungslegungsgrundsätze des jeweiligen Vorjahresabschlusses anwenden kann.</w:t>
      </w:r>
    </w:p>
    <w:p>
      <w:r>
        <w:t xml:space="preserve">(3) § 30b Abs. 3 Nr. 1 Buchstabe a in der Fassung des Gesetzes vom 5. Januar 2007 (BGBl. I S. 10) findet erstmals auf Informationen Anwendung, die nach dem 31. Dezember 2007 übermittelt werden.</w:t>
      </w:r>
    </w:p>
    <w:p>
      <w:r>
        <w:t xml:space="preserve">(4) (weggefallen)</w:t>
      </w:r>
    </w:p>
    <w:p>
      <w:r>
        <w:rPr>
          <w:color w:val="555555"/>
          <w:sz w:val="17"/>
        </w:rPr>
        <w:t xml:space="preserve">Zitiervorschlag: § 132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