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WpHG — Übergangsregelung für die Mitteilungs- und Veröffentlichungspflichten für Inhaber von Netto-Leerverkaufspositionen nach § 30i in der Fassung dieses Gesetzes vom 6. Dezember 2011 (BGBl. I S. 2481)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am 26. März 2012 Inhaber einer Netto-Leerverkaufsposition nach § 30i Absatz 1 Satz 1 in der Fassung dieses Gesetzes vom 6. Dezember 2011 (BGBl. I S. 2481) in Höhe von 0,2 Prozent oder mehr ist, hat diese zum Ablauf des nächsten Handelstages der Bundesanstalt nach § 30i Absatz 3 der vorgenannten Fassung dieses Gesetzes, auch in Verbindung mit einer Rechtsverordnung nach § 30i Absatz 5 der vorgenannten Fassung dieses Gesetzes, mitzuteilen. Der Inhaber einer Netto-Leerverkaufsposition nach § 30i Absatz 1 Satz 2 der vorgenannten Fassung dieses Gesetzes in Höhe von 0,5 Prozent oder mehr hat diese zusätzlich zu ihrer Mitteilung nach Satz 1 innerhalb der Frist des Satzes 1 nach § 30i Absatz 3 der vorgenannten Fassung dieses Gesetzes, auch in Verbindung mit einer Rechtsverordnung nach § 30i Absatz 5 der vorgenannten Fassung dieses Gesetzes, im Bundesanzeiger zu veröffentlichen; eine solche Verpflichtung besteht nicht, sofern vor dem 26. März 2012 bereits eine gleichartige Mitteilung abgegeben worden ist.</w:t>
      </w:r>
    </w:p>
    <w:p>
      <w:r>
        <w:t xml:space="preserve">(2) Ordnungswidrig handelt, wer vorsätzlich oder leichtfertig</w:t>
      </w:r>
    </w:p>
    <w:p>
      <w:pPr>
        <w:ind w:left="420"/>
      </w:pPr>
      <w:r>
        <w:t xml:space="preserve">1. entgegen Absatz 1 Satz 1 eine Mitteilung nicht, nicht richtig, nicht vollständig, nicht in der vorgeschriebenen Weise oder nicht rechtzeitig macht oder</w:t>
      </w:r>
    </w:p>
    <w:p>
      <w:pPr>
        <w:ind w:left="420"/>
      </w:pPr>
      <w:r>
        <w:t xml:space="preserve">2. entgegen Absatz 1 Satz 2 erster Halbsatz eine Veröffentlichung nicht, nicht richtig, nicht vollständig, nicht in der vorgeschriebenen Weise oder nicht rechtzeitig vornimmt.</w:t>
      </w:r>
    </w:p>
    <w:p>
      <w:r>
        <w:t xml:space="preserve">(3) Die Ordnungswidrigkeit kann in den Fällen des Absatzes 2 mit einer Geldbuße bis zu zweihunderttausend Euro geahndet werden.</w:t>
      </w:r>
    </w:p>
    <w:p>
      <w:r>
        <w:rPr>
          <w:color w:val="555555"/>
          <w:sz w:val="17"/>
        </w:rPr>
        <w:t xml:space="preserve">Zitiervorschlag: § 130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