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WpHG — Sofortiger Vollzug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30.12.2024 (konsolidierte Textfassung, kein amtliches Inkrafttretensdatum)</w:t>
      </w:r>
    </w:p>
    <w:p>
      <w:r>
        <w:t xml:space="preserve">Widerspruch und Anfechtungsklage gegen Maßnahmen nach § 6 Absatz 1 bis 13 und den §§ 7 bis 10a und 54 Absatz 1 einschließlich der Androhung und der Festsetzung von Zwangsmitteln haben keine aufschiebende Wirkung.</w:t>
      </w:r>
    </w:p>
    <w:p>
      <w:r>
        <w:rPr>
          <w:color w:val="555555"/>
          <w:sz w:val="17"/>
        </w:rPr>
        <w:t xml:space="preserve">Zitiervorschlag: § 13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