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124 WpHG — Bekanntmachung von Maßnahmen und Sanktionen wegen Verstößen gegen Transparenzpflichten</w:t>
      </w:r>
    </w:p>
    <w:p>
      <w:r>
        <w:rPr>
          <w:color w:val="555555"/>
          <w:sz w:val="18"/>
        </w:rPr>
        <w:t xml:space="preserve">Wertpapierhandelsgesetz</w:t>
      </w:r>
    </w:p>
    <w:p>
      <w:r>
        <w:rPr>
          <w:color w:val="555555"/>
          <w:sz w:val="18"/>
        </w:rPr>
        <w:t xml:space="preserve">Stand: 10.06.2019 (konsolidierte Textfassung, kein amtliches Inkrafttretensdatum)</w:t>
      </w:r>
    </w:p>
    <w:p>
      <w:r>
        <w:t xml:space="preserve">(1) Die Bundesanstalt macht Entscheidungen über Maßnahmen und Sanktionen, die wegen Verstößen gegen Verbote oder Gebote nach den Abschnitten 6, 7 und 16 Unterabschnitt 2 dieses Gesetzes erlassen oder der Bundesanstalt gemäß § 335 Absatz 1d des Handelsgesetzbuchs mitgeteilt wurden, auf ihrer Internetseite unverzüglich bekannt.</w:t>
      </w:r>
    </w:p>
    <w:p>
      <w:r>
        <w:t xml:space="preserve">(2) In der Bekanntmachung benennt die Bundesanstalt die Vorschrift, gegen die verstoßen wurde, und die für den Verstoß verantwortliche natürliche oder juristische Person oder Personenvereinigung. Bei nicht bestands- oder nicht rechtskräftigen Entscheidungen fügt sie einen Hinweis darauf, dass die Entscheidung noch nicht bestandskräftig oder nicht rechtskräftig ist, hinzu. Die Bundesanstalt ergänzt die Bekanntmachung unverzüglich um einen Hinweis auf die Einlegung eines Rechtsbehelfes gegen die Maßnahme oder Sanktion sowie auf das Ergebnis des Rechtsbehelfsverfahrens.</w:t>
      </w:r>
    </w:p>
    <w:p>
      <w:r>
        <w:t xml:space="preserve">(3) Die Bundesanstalt macht die Entscheidung ohne Nennung personenbezogener Daten bekannt oder schiebt die Bekanntmachung der Entscheidung auf, wenn</w:t>
      </w:r>
    </w:p>
    <w:p>
      <w:pPr>
        <w:ind w:left="420"/>
      </w:pPr>
      <w:r>
        <w:t xml:space="preserve">1. die Bekanntmachung der personenbezogenen Daten unverhältnismäßig wäre,</w:t>
      </w:r>
    </w:p>
    <w:p>
      <w:pPr>
        <w:ind w:left="420"/>
      </w:pPr>
      <w:r>
        <w:t xml:space="preserve">2. die Bekanntmachung die Stabilität des Finanzsystems ernsthaft gefährden würde,</w:t>
      </w:r>
    </w:p>
    <w:p>
      <w:pPr>
        <w:ind w:left="420"/>
      </w:pPr>
      <w:r>
        <w:t xml:space="preserve">3. die Bekanntmachung eine laufende Ermittlung ernsthaft gefährden würde oder</w:t>
      </w:r>
    </w:p>
    <w:p>
      <w:pPr>
        <w:ind w:left="420"/>
      </w:pPr>
      <w:r>
        <w:t xml:space="preserve">4. die Bekanntmachung den Beteiligten einen unverhältnismäßigen Schaden zufügen würde.</w:t>
      </w:r>
    </w:p>
    <w:p>
      <w:r>
        <w:t xml:space="preserve">(4) Eine Bekanntmachung nach Absatz 1 ist fünf Jahre nach ihrer Veröffentlichung zu löschen. Abweichend von Satz 1 sind personenbezogene Daten zu löschen, sobald ihre Bekanntmachung nicht mehr erforderlich ist.</w:t>
      </w:r>
    </w:p>
    <w:p>
      <w:r>
        <w:rPr>
          <w:color w:val="555555"/>
          <w:sz w:val="17"/>
        </w:rPr>
        <w:t xml:space="preserve">Zitiervorschlag: § 124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https://recht.nulegal.eu/gesetze/WpHG/124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