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120e WpHG — Bußgeldvorschriften zur Verordnung (EU) 2022/2554</w:t>
      </w:r>
    </w:p>
    <w:p>
      <w:r>
        <w:rPr>
          <w:color w:val="555555"/>
          <w:sz w:val="18"/>
        </w:rPr>
        <w:t xml:space="preserve">Wertpapierhandelsgesetz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Zuwiderhandlungen gegen die Verordnung (EU) 2022/2554 des Europäischen Parlaments und des Rates vom 14. Dezember 2022 über die digitale operationale Resilienz im Finanzsektor und zur Änderung der Verordnungen (EG) Nr. 1060/2009, (EU) Nr. 648/2012, (EU) Nr. 600/2014, (EU) Nr. 909/2014 und (EU) 2016/1011 (ABl. L 333 vom 27.12.2022, S. 1) durch Personen im Anwendungsbereich dieses Gesetzes können nach § 56 Absatz 5e und 6 Nummer 1 und 2 des Kreditwesengesetzes geahndet werden.</w:t>
      </w:r>
    </w:p>
    <w:p>
      <w:r>
        <w:rPr>
          <w:color w:val="555555"/>
          <w:sz w:val="17"/>
        </w:rPr>
        <w:t xml:space="preserve">Zitiervorschlag: § 120e WpHG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https://recht.nulegal.eu/gesetze/WpHG/120e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