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WpHG — Adressaten einer Maßnahme wegen möglichen Verstoßes gegen Artikel 14 oder 15 der Verordnung (EU) Nr. 596/2014</w:t>
      </w:r>
    </w:p>
    <w:p>
      <w:r>
        <w:rPr>
          <w:color w:val="555555"/>
          <w:sz w:val="18"/>
        </w:rPr>
        <w:t xml:space="preserve">Wertpapierhandelsgesetz</w:t>
      </w:r>
    </w:p>
    <w:p>
      <w:r>
        <w:rPr>
          <w:color w:val="555555"/>
          <w:sz w:val="18"/>
        </w:rPr>
        <w:t xml:space="preserve">Stand: 05.04.2020 (konsolidierte Textfassung, kein amtliches Inkrafttretensdatum)</w:t>
      </w:r>
    </w:p>
    <w:p>
      <w:r>
        <w:t xml:space="preserve">Die Adressaten von Maßnahmen nach § 6 Absatz 2 bis 4, 6 bis 8 und 10 bis 13 sowie den §§ 7 bis 9, die von der Bundesanstalt wegen eines möglichen Verstoßes gegen ein Verbot nach Artikel 14 oder 15 der Verordnung (EU) Nr. 596/2014 ergriffen werden, dürfen andere Personen als Mitarbeiter staatlicher Stellen und solche, die auf Grund ihres Berufs einer gesetzlichen Verschwiegenheitspflicht unterliegen, von diesen Maßnahmen oder von einem daraufhin eingeleiteten Ermittlungsverfahren nicht in Kenntnis setzen.</w:t>
      </w:r>
    </w:p>
    <w:p>
      <w:r>
        <w:rPr>
          <w:color w:val="555555"/>
          <w:sz w:val="17"/>
        </w:rPr>
        <w:t xml:space="preserve">Zitiervorschlag: § 12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