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WpHG — Strafvorschriften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 eine in § 120 Absatz 2 Nummer 3 oder Absatz 15 Nummer 2 bezeichnete vorsätzliche Handlung begeht und dadurch einwirkt auf</w:t>
      </w:r>
    </w:p>
    <w:p>
      <w:pPr>
        <w:ind w:left="420"/>
      </w:pPr>
      <w:r>
        <w:t xml:space="preserve">1. den inländischen Börsen- oder Marktpreis eines Finanzinstruments, eines damit verbundenen Waren-Spot-Kontrakts, einer Ware im Sinne des § 2 Absatz 5 oder eines ausländischen Zahlungsmittels im Sinne des § 51 des Börsengesetzes,</w:t>
      </w:r>
    </w:p>
    <w:p>
      <w:pPr>
        <w:ind w:left="420"/>
      </w:pPr>
      <w:r>
        <w:t xml:space="preserve">2. den Preis eines Finanzinstruments oder eines damit verbundenen Waren-Spot-Kontrakts an einem organisierten Markt, einem multilateralen oder organisierten Handelssystem in einem anderen Mitgliedstaat oder in einem anderen Vertragsstaat des Abkommens über den Europäischen Wirtschaftsraum,</w:t>
      </w:r>
    </w:p>
    <w:p>
      <w:pPr>
        <w:ind w:left="420"/>
      </w:pPr>
      <w:r>
        <w:t xml:space="preserve">3. den Preis einer Ware im Sinne des § 2 Absatz 5 oder eines ausländischen Zahlungsmittels im Sinne des § 51 des Börsengesetzes an einem mit einer inländischen Börse vergleichbaren Markt in einem anderen Mitgliedstaat oder in einem anderen Vertragsstaat des Abkommens über den Europäischen Wirtschaftsraum oder</w:t>
      </w:r>
    </w:p>
    <w:p>
      <w:pPr>
        <w:ind w:left="420"/>
      </w:pPr>
      <w:r>
        <w:t xml:space="preserve">4. die Berechnung eines Referenzwertes im Inland oder in einem anderen Mitgliedstaat oder in einem anderen Vertragsstaat des Abkommens über den Europäischen Wirtschaftsraum.</w:t>
      </w:r>
    </w:p>
    <w:p>
      <w:r>
        <w:t xml:space="preserve">(2) Ebenso wird bestraft, wer gegen die Verordnung (EU) Nr. 1031/2010 der Kommission vom 12. November 2010 über den zeitlichen und administrativen Ablauf sowie sonstige Aspekte der Versteigerung von Treibhausgasemissionszertifikaten gemäß der Richtlinie 2003/87/EG des Europäischen Parlaments und des Rates über ein System für den Handel mit Treibhausgasemissionszertifikaten in der Gemeinschaft (ABl. L 302 vom 18.11.2010, S. 1), die zuletzt durch die Verordnung (EU) Nr. 176/2014 (ABl. L 56 vom 26.2.2014, S. 11) geändert worden ist, verstößt, indem er</w:t>
      </w:r>
    </w:p>
    <w:p>
      <w:pPr>
        <w:ind w:left="420"/>
      </w:pPr>
      <w:r>
        <w:t xml:space="preserve">1. entgegen Artikel 38 Absatz 1 Unterabsatz 1, auch in Verbindung mit Absatz 2 oder Artikel 40, ein Gebot einstellt, ändert oder zurückzieht oder</w:t>
      </w:r>
    </w:p>
    <w:p>
      <w:pPr>
        <w:ind w:left="420"/>
      </w:pPr>
      <w:r>
        <w:t xml:space="preserve">2. als Person nach Artikel 38 Absatz 1 Unterabsatz 2, auch in Verbindung mit Absatz 2,</w:t>
      </w:r>
    </w:p>
    <w:p>
      <w:pPr>
        <w:ind w:left="780"/>
      </w:pPr>
      <w:r>
        <w:t xml:space="preserve">a) entgegen Artikel 39 Buchstabe a eine Insiderinformation weitergibt oder</w:t>
      </w:r>
    </w:p>
    <w:p>
      <w:pPr>
        <w:ind w:left="780"/>
      </w:pPr>
      <w:r>
        <w:t xml:space="preserve">b) entgegen Artikel 39 Buchstabe b die Einstellung, Änderung oder Zurückziehung eines Gebotes empfiehlt oder eine andere Person hierzu verleitet.</w:t>
      </w:r>
    </w:p>
    <w:p>
      <w:r>
        <w:t xml:space="preserve">(3) Ebenso wird bestraft, wer gegen die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12.6.2014, S. 1; L 287 vom 21.10.2016, S. 320; L 306 vom 15.11.2016, S. 43; L 348 vom 21.12.2016, S. 83), die zuletzt durch die Verordnung (EU) 2016/1033 (ABl. L 175 vom 30.6.2016, S. 1) geändert worden ist, verstößt, indem er</w:t>
      </w:r>
    </w:p>
    <w:p>
      <w:pPr>
        <w:ind w:left="420"/>
      </w:pPr>
      <w:r>
        <w:t xml:space="preserve">1. entgegen Artikel 14 Buchstabe a ein Insidergeschäft tätigt,</w:t>
      </w:r>
    </w:p>
    <w:p>
      <w:pPr>
        <w:ind w:left="420"/>
      </w:pPr>
      <w:r>
        <w:t xml:space="preserve">2. entgegen Artikel 14 Buchstabe b einem Dritten empfiehlt, ein Insidergeschäft zu tätigen, oder einen Dritten dazu verleitet oder</w:t>
      </w:r>
    </w:p>
    <w:p>
      <w:pPr>
        <w:ind w:left="420"/>
      </w:pPr>
      <w:r>
        <w:t xml:space="preserve">3. entgegen Artikel 14 Buchstabe c eine Insiderinformation offenlegt.</w:t>
      </w:r>
    </w:p>
    <w:p>
      <w:r>
        <w:t xml:space="preserve">(4) Der Versuch ist strafbar.</w:t>
      </w:r>
    </w:p>
    <w:p>
      <w:r>
        <w:t xml:space="preserve">(5) Mit Freiheitsstrafe von einem Jahr bis zu zehn Jahren wird bestraft, wer in den Fällen des Absatzes 1</w:t>
      </w:r>
    </w:p>
    <w:p>
      <w:pPr>
        <w:ind w:left="420"/>
      </w:pPr>
      <w:r>
        <w:t xml:space="preserve">1. gewerbsmäßig oder als Mitglied einer Bande, die sich zur fortgesetzten Begehung solcher Taten verbunden hat, handelt oder</w:t>
      </w:r>
    </w:p>
    <w:p>
      <w:pPr>
        <w:ind w:left="420"/>
      </w:pPr>
      <w:r>
        <w:t xml:space="preserve">2. in Ausübung seiner Tätigkeit für eine inländische Finanzaufsichtsbehörde, ein Wertpapierdienstleistungsunternehmen, eine Börse oder einen Betreiber eines Handelsplatzes handelt.</w:t>
      </w:r>
    </w:p>
    <w:p>
      <w:r>
        <w:t xml:space="preserve">(6) In minder schweren Fällen des Absatzes 5 Nummer 2 ist die Strafe Freiheitsstrafe von sechs Monaten bis zu fünf Jahren.</w:t>
      </w:r>
    </w:p>
    <w:p>
      <w:r>
        <w:t xml:space="preserve">(7) Handelt der Täter in den Fällen des Absatzes 2 Nummer 1 leichtfertig, so ist die Strafe Freiheitsstrafe bis zu einem Jahr oder Geldstrafe.</w:t>
      </w:r>
    </w:p>
    <w:p>
      <w:r>
        <w:rPr>
          <w:color w:val="555555"/>
          <w:sz w:val="17"/>
        </w:rPr>
        <w:t xml:space="preserve">Zitiervorschlag: § 119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