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117 WpHG — Konzernabschluss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Ist ein Mutterunternehmen verpflichtet, einen Konzernabschluss und einen Konzernlagebericht aufzustellen, gelten die §§ 114 und 115 mit der folgenden Maßgabe:</w:t>
      </w:r>
    </w:p>
    <w:p>
      <w:pPr>
        <w:ind w:left="420"/>
      </w:pPr>
      <w:r>
        <w:t xml:space="preserve">1. Der Jahresfinanzbericht hat auch den geprüften, im Einklang mit der Verordnung (EG) Nr. 1606/2002 des Europäischen Parlaments und des Rates vom 19. Juli 2002 betreffend die Anwendung internationaler Rechnungslegungsstandards (ABl. EG Nr. L 243 S. 1) aufgestellten Konzernabschluss, den Konzernlagebericht, eine den Vorgaben des § 297 Absatz 2 Satz 4, § 315 Absatz 1 Satz 5 des Handelsgesetzbuchs entsprechende Erklärung und eine Bescheinigung der Wirtschaftsprüferkammer gemäß § 134 Abs. 2a der Wirtschaftsprüferordnung über die Eintragung des Abschlussprüfers oder eine Bestätigung der Wirtschaftsprüferkammer gemäß § 134 Abs. 4 Satz 8 der Wirtschaftsprüferordnung über die Befreiung von der Eintragungspflicht zu enthalten.</w:t>
      </w:r>
    </w:p>
    <w:p>
      <w:pPr>
        <w:ind w:left="420"/>
      </w:pPr>
      <w:r>
        <w:t xml:space="preserve">2. Das Mutterunternehmen hat den Halbjahresfinanzbericht für das Mutterunternehmen und die Gesamtheit der einzubeziehenden Tochterunternehmen zu erstellen und zu veröffentlichen. § 115 Absatz 3 gilt entsprechend, wenn das Mutterunternehmen verpflichtet ist, den Konzernabschluss nach den in § 315e Absatz 1 des Handelsgesetzbuchs bezeichneten internationalen Rechnungslegungsstandards und Vorschriften aufzustellen.</w:t>
      </w:r>
    </w:p>
    <w:p>
      <w:pPr>
        <w:ind w:left="420"/>
      </w:pPr>
      <w:r>
        <w:t xml:space="preserve">3. (weggefallen)</w:t>
      </w:r>
    </w:p>
    <w:p>
      <w:r>
        <w:rPr>
          <w:color w:val="555555"/>
          <w:sz w:val="17"/>
        </w:rPr>
        <w:t xml:space="preserve">Zitiervorschlag: § 117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