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WpHG — Zahlungsbericht;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Unternehmen, das als Inlandsemittent Wertpapiere begibt, hat unter entsprechender Anwendung der §§ 341r bis 341v des Handelsgesetzbuchs einen Zahlungsbericht beziehungsweise Konzernzahlungsbericht zu erstellen und diesen spätestens sechs Monate nach Ablauf des Berichtszeitraums der Öffentlichkeit zur Verfügung zu stellen, wenn</w:t>
      </w:r>
    </w:p>
    <w:p>
      <w:pPr>
        <w:ind w:left="420"/>
      </w:pPr>
      <w:r>
        <w:t xml:space="preserve">1. das Unternehmen oder eines seiner Tochterunternehmen im Sinne des § 341r Nummer 1 des Handelsgesetzbuchs in der mineralgewinnenden Industrie tätig ist oder Holzeinschlag in Primärwäldern im Sinne des § 341r Nummer 2 des Handelsgesetzbuchs betreibt und</w:t>
      </w:r>
    </w:p>
    <w:p>
      <w:pPr>
        <w:ind w:left="420"/>
      </w:pPr>
      <w:r>
        <w:t xml:space="preserve">2. auf das Unternehmen § 341q des Handelsgesetzbuchs nicht anzuwenden ist.</w:t>
      </w:r>
    </w:p>
    <w:p>
      <w:r>
        <w:t xml:space="preserve">Im Falle eines Unternehmens im Sinne des Satzes 1 mit Sitz in einem anderen Mitgliedstaat der Europäischen Union oder in einem anderen Vertragsstaat des Abkommens über den Europäischen Wirtschaftsraum treten anstelle der entsprechenden Anwendung der §§ 341s bis 341v des Handelsgesetzbuchs die in Umsetzung von Kapitel 10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erlassenen nationalen Rechtsvorschriften des Sitzstaats.</w:t>
      </w:r>
    </w:p>
    <w:p>
      <w:r>
        <w:t xml:space="preserve">(2) Außerdem muss jedes Unternehmen im Sinne des Absatzes 1 Satz 1 Nummer 1 spätestens sechs Monate nach Ablauf des Berichtszeitraums und vor dem Zeitpunkt, zu dem der Zahlungsbericht oder Konzernzahlungsbericht erstmals der Öffentlichkeit zur Verfügung steht, eine Bekanntmachung darüber veröffentlichen, ab welchem Zeitpunkt und unter welcher Internetadresse der Zahlungsbericht oder Konzernzahlungsbericht zusätzlich zu seiner Verfügbarkeit im Unternehmensregister öffentlich zugänglich ist. Das Unternehmen teilt die Bekanntmachung gleichzeitig mit ihrer Veröffentlichung der Bundesanstalt mit und übermittelt sie unverzüglich, jedoch nicht vor ihrer Veröffentlichung der das Unternehmensregister führenden Stelle zur Einstellung in das Unternehmensregister. Ein Unternehmen im Sinne von Satz 1 hat gleichzeitig mit der öffentlichen Zurverfügungstellung nach Absatz 1 Satz 1 den Zahlungsbericht oder Konzernzahlungsbericht an die das Unternehmensregister führende Stelle zur Einstellung in das Unternehmensregister und zur Weiterleitung an das zentrale europäische Zugangsportal zu übermitteln, es sei denn, die Übermittlung erfolgt nach § 8b Absatz 2 Nummer 4 in Verbindung mit Absatz 3 Satz 1 Nummer 1 des Handelsgesetzbuchs.</w:t>
      </w:r>
    </w:p>
    <w:p>
      <w:r>
        <w:t xml:space="preserve">(3) Die Bundesanstalt kann ein Unternehmen zur Erklärung auffordern, ob es im Sinne des § 341r des Handelsgesetzbuchs in der mineralgewinnenden Industrie tätig ist oder Holzeinschlag in Primärwäldern betreibt, und eine angemessene Frist setzen. Die Aufforderung ist zu begründen. Gibt das Unternehmen innerhalb der Frist keine Erklärung ab, so wird vermutet, dass das Unternehmen in den Anwendungsbereich des Absatzes 1 Satz 1 Nummer 1 fällt. Die Sätze 1 und 2 sind entsprechend anzuwenden, wenn die Bundesanstalt Anlass zur Annahme hat, dass ein Tochterunternehmen des Unternehmens in der mineralgewinnenden Industrie tätig ist oder Holzeinschlag in Primärwäldern betreibt.</w:t>
      </w:r>
    </w:p>
    <w:p>
      <w:r>
        <w:t xml:space="preserve">(4) Das Bundesministerium der Finanzen kann im Einvernehmen mit dem Bundesministerium der Justiz und für Verbraucherschutz durch Rechtsverordnung, die nicht der Zustimmung des Bundesrates bedarf, nähere Bestimmungen erlassen über</w:t>
      </w:r>
    </w:p>
    <w:p>
      <w:pPr>
        <w:ind w:left="420"/>
      </w:pPr>
      <w:r>
        <w:t xml:space="preserve">1. den Mindestinhalt, die Art, die Sprache, den Umfang und die Form der Veröffentlichung nach Absatz 2 Satz 1,</w:t>
      </w:r>
    </w:p>
    <w:p>
      <w:pPr>
        <w:ind w:left="420"/>
      </w:pPr>
      <w:r>
        <w:t xml:space="preserve">2. den Mindestinhalt, die Art, die Sprache, den Umfang und die Form der Bekanntmachung nach Absatz 2 Satz 2,</w:t>
      </w:r>
    </w:p>
    <w:p>
      <w:pPr>
        <w:ind w:left="420"/>
      </w:pPr>
      <w:r>
        <w:t xml:space="preserve">3. die Sprache, in der der Zahlungsbericht oder Konzernzahlungsbericht abzufassen ist, sowie den Zeitraum, für den der Zahlungsbericht oder Konzernzahlungsbericht im Unternehmensregister allgemein zugänglich bleiben muss, und den Zeitpunkt, zu dem er zu löschen ist.</w:t>
      </w:r>
    </w:p>
    <w:p>
      <w:r>
        <w:rPr>
          <w:color w:val="555555"/>
          <w:sz w:val="17"/>
        </w:rPr>
        <w:t xml:space="preserve">Zitiervorschlag: § 116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