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WpHG — Halbjahresfinanzbericht;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Unternehmen, das als Inlandsemittent Aktien oder Schuldtitel im Sinne des § 2 Absatz 1 begibt, hat für die ersten sechs Monate eines jeden Geschäftsjahrs einen Halbjahresfinanzbericht zu erstellen und diesen unverzüglich, spätestens drei Monate nach Ablauf des Berichtszeitraums der Öffentlichkeit zur Verfügung zu stellen, es sei denn, es handelt sich bei den zugelassenen Wertpapieren um Schuldtitel, die unter § 2 Absatz 1 Nummer 2 fallen oder die ein zumindest bedingtes Recht auf den Erwerb von Wertpapieren nach § 2 Absatz 1 Nummer 1 oder Nummer 2 begründen. Außerdem muss das Unternehmen spätestens drei Monate nach Ablauf des Berichtszeitraums und vor dem Zeitpunkt, zu dem der Halbjahresfinanzbericht erstmals der Öffentlichkeit zur Verfügung steht, eine Bekanntmachung darüber veröffentlichen, ab welchem Zeitpunkt und unter welcher Internetadresse der Bericht zusätzlich zu seiner Verfügbarkeit im Unternehmensregister öffentlich zugänglich ist. Das Unternehmen teilt die Bekanntmachung gleichzeitig mit ihrer Veröffentlichung der Bundesanstalt mit und übermittelt sie unverzüglich, jedoch nicht vor ihrer Veröffentlichung der das Unternehmensregister führenden Stelle zur Einstellung in das Unternehmensregister. Es hat gleichzeitig mit der öffentlichen Zurverfügungstellung nach Satz 1 den Halbjahresfinanzbericht an die das Unternehmensregister führende Stelle zur Einstellung in das Unternehmensregister und zur Weiterleitung an das zentrale europäische Zugangsportal zu übermitteln.</w:t>
      </w:r>
    </w:p>
    <w:p>
      <w:r>
        <w:t xml:space="preserve">(2) Der Halbjahresfinanzbericht hat mindestens</w:t>
      </w:r>
    </w:p>
    <w:p>
      <w:pPr>
        <w:ind w:left="420"/>
      </w:pPr>
      <w:r>
        <w:t xml:space="preserve">1. einen verkürzten Abschluss,</w:t>
      </w:r>
    </w:p>
    <w:p>
      <w:pPr>
        <w:ind w:left="420"/>
      </w:pPr>
      <w:r>
        <w:t xml:space="preserve">2. einen Zwischenlagebericht und</w:t>
      </w:r>
    </w:p>
    <w:p>
      <w:pPr>
        <w:ind w:left="420"/>
      </w:pPr>
      <w:r>
        <w:t xml:space="preserve">3. eine den Vorgaben des § 264 Abs. 2 Satz 3, § 289 Abs. 1 Satz 5 des Handelsgesetzbuchs entsprechende Erklärung</w:t>
      </w:r>
    </w:p>
    <w:p>
      <w:r>
        <w:t xml:space="preserve">zu enthalten.</w:t>
      </w:r>
    </w:p>
    <w:p>
      <w:r>
        <w:t xml:space="preserve">(3) Der verkürzte Abschluss hat mindestens eine verkürzte Bilanz, eine verkürzte Gewinn- und Verlustrechnung und einen Anhang zu enthalten. Auf den verkürzten Abschluss sind die für den Jahresabschluss geltenden Rechnungslegungsgrundsätze anzuwenden. Tritt bei der Offenlegung an die Stelle des Jahresabschlusses ein Einzelabschluss im Sinne des § 325 Abs. 2a des Handelsgesetzbuchs, sind auf den verkürzten Abschluss die in § 315e Absatz 1 des Handelsgesetzbuchs bezeichneten internationalen Rechnungslegungsstandards und Vorschriften anzuwenden.</w:t>
      </w:r>
    </w:p>
    <w:p>
      <w:r>
        <w:t xml:space="preserve">(4) Im Zwischenlagebericht sind mindestens die wichtigen Ereignisse des Berichtszeitraums im Unternehmen des Emittenten und ihre Auswirkungen auf den verkürzten Abschluss anzugeben sowie die wesentlichen Chancen und Risiken für die dem Berichtszeitraum folgenden sechs Monate des Geschäftsjahrs zu beschreiben. Ferner sind bei einem Unternehmen, das als Inlandsemittent Aktien begibt, die wesentlichen Geschäfte des Emittenten mit nahe stehenden Personen anzugeben; die Angaben können stattdessen im Anhang des Halbjahresfinanzberichts gemacht werden.</w:t>
      </w:r>
    </w:p>
    <w:p>
      <w:r>
        <w:t xml:space="preserve">(5) Der verkürzte Abschluss und der Zwischenlagebericht kann einer prüferischen Durchsicht durch einen Abschlussprüfer unterzogen werden. Die Vorschriften über die Bestellung des Abschlussprüfers sind auf die prüferische Durchsicht entsprechend anzuwenden. Die prüferische Durchsicht ist so anzulegen, dass bei gewissenhafter Berufsausübung ausgeschlossen werden kann, dass der verkürzte Abschluss und der Zwischenlagebericht in wesentlichen Belangen den anzuwendenden Rechnungslegungsgrundsätzen widersprechen. Der Abschlussprüfer hat das Ergebnis der prüferischen Durchsicht in einer Bescheinigung zum Halbjahresfinanzbericht zusammenzufassen, die mit dem Halbjahresfinanzbericht zu veröffentlichen ist. Sind der verkürzte Abschluss und der Zwischenlagebericht entsprechend § 317 des Handelsgesetzbuchs geprüft worden, ist der Bestätigungsvermerk oder der Vermerk über seine Versagung vollständig wiederzugeben und mit dem Halbjahresfinanzbericht zu veröffentlichen. Sind der verkürzte Abschluss und der Zwischenlagebericht weder einer prüferischen Durchsicht unterzogen noch entsprechend § 317 des Handelsgesetzbuchs geprüft worden, ist dies im Halbjahresfinanzbericht anzugeben. § 320 und § 323 des Handelsgesetzbuchs gelten entsprechend.</w:t>
      </w:r>
    </w:p>
    <w:p>
      <w:r>
        <w:t xml:space="preserve">(6) Das Bundesministerium der Finanzen kann im Einvernehmen mit dem Bundesministerium der Justiz und für Verbraucherschutz durch Rechtsverordnung, die nicht der Zustimmung des Bundesrates bedarf, nähere Bestimmungen erlassen über</w:t>
      </w:r>
    </w:p>
    <w:p>
      <w:pPr>
        <w:ind w:left="420"/>
      </w:pPr>
      <w:r>
        <w:t xml:space="preserve">1. den Inhalt und die prüferische Durchsicht des Halbjahresfinanzberichts,</w:t>
      </w:r>
    </w:p>
    <w:p>
      <w:pPr>
        <w:ind w:left="420"/>
      </w:pPr>
      <w:r>
        <w:t xml:space="preserve">2. den Mindestinhalt, die Art, die Sprache, den Umfang und die Form der Veröffentlichung nach Absatz 1 Satz 2,</w:t>
      </w:r>
    </w:p>
    <w:p>
      <w:pPr>
        <w:ind w:left="420"/>
      </w:pPr>
      <w:r>
        <w:t xml:space="preserve">3. den Mindestinhalt, die Art, die Sprache, den Umfang und die Form der Mitteilung nach Absatz 1 Satz 3 und</w:t>
      </w:r>
    </w:p>
    <w:p>
      <w:pPr>
        <w:ind w:left="420"/>
      </w:pPr>
      <w:r>
        <w:t xml:space="preserve">4. die Sprache, in der der Halbjahresfinanzbericht abzufassen ist, sowie den Zeitraum, für den der Halbjahresfinanzbericht im Unternehmensregister allgemein zugänglich bleiben muss, und den Zeitpunkt, zu dem er zu löschen ist.</w:t>
      </w:r>
    </w:p>
    <w:p>
      <w:r>
        <w:t xml:space="preserve">(7) Erstellt und veröffentlicht ein Unternehmen zusätzliche unterjährige Finanzinformationen, die den Vorgaben des Absatzes 2 Nummer 1 und 2 und der Absätze 3 und 4 entsprechen, gilt für die Prüfung oder prüferische Durchsicht dieser Finanzinformationen durch einen Abschlussprüfer Absatz 5 entsprechend.</w:t>
      </w:r>
    </w:p>
    <w:p>
      <w:r>
        <w:rPr>
          <w:color w:val="555555"/>
          <w:sz w:val="17"/>
        </w:rPr>
        <w:t xml:space="preserve">Zitiervorschlag: § 115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