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114 WpHG — Jahresfinanzbericht; Verordnungsermächtigung</w:t>
      </w:r>
    </w:p>
    <w:p>
      <w:r>
        <w:rPr>
          <w:color w:val="555555"/>
          <w:sz w:val="18"/>
        </w:rPr>
        <w:t xml:space="preserve">Wertpapierhandelsgesetz</w:t>
      </w:r>
    </w:p>
    <w:p>
      <w:r>
        <w:rPr>
          <w:color w:val="555555"/>
          <w:sz w:val="18"/>
        </w:rPr>
        <w:t xml:space="preserve">Stand: 10.07.2026 (konsolidierte Textfassung, kein amtliches Inkrafttretensdatum)</w:t>
      </w:r>
    </w:p>
    <w:p>
      <w:r>
        <w:t xml:space="preserve">(1) Ein Unternehmen, das als Inlandsemittent Wertpapiere begibt, hat für den Schluss eines jeden Geschäftsjahrs einen Jahresfinanzbericht nach Maßgabe der Delegierten Verordnung (EU) 2019/815 der Kommission vom 17. Dezember 2018 zur Ergänzung der Richtlinie 2004/109/EG des Europäischen Parlaments und des Rates im Hinblick auf technische Regulierungsstandards für die Spezifikation eines einheitlichen elektronischen Berichtsformats (ABl. L 143 vom 29.5.2019, S. 1; L 145 vom 4.6.2019, S. 85) in der jeweils geltenden Fassung zu erstellen und spätestens vier Monate nach Ablauf eines jeden Geschäftsjahrs der Öffentlichkeit zur Verfügung zu stellen, wenn es nicht nach den handelsrechtlichen Vorschriften zur Offenlegung der in Absatz 2 Nummer 1 bis 3 genannten Rechnungslegungsunterlagen verpflichtet ist. Außerdem muss jedes Unternehmen, das als Inlandsemittent Wertpapiere begibt, spätestens vier Monate nach Ablauf eines jeden Geschäftsjahres und vor dem Zeitpunkt, zu dem die in Absatz 2 genannten Rechnungslegungsunterlagen erstmals der Öffentlichkeit zur Verfügung stehen, eine Bekanntmachung darüber veröffentlichen, ab welchem Zeitpunkt und unter welcher Internetadresse die in Absatz 2 genannten Rechnungslegungsunterlagen zusätzlich zu ihrer Verfügbarkeit im Unternehmensregister öffentlich zugänglich sind. Das Unternehmen teilt die Bekanntmachung gleichzeitig mit ihrer Veröffentlichung der Bundesanstalt mit und übermittelt sie unverzüglich, jedoch nicht vor ihrer Veröffentlichung der das Unternehmensregister führenden Stelle zur Einstellung in das Unternehmensregister. Ein Unternehmen, das als Inlandsemittent Wertpapiere begibt und der Verpflichtung nach Satz 1 unterliegt, hat gleichzeitig mit der öffentlichen Zurverfügungstellung nach Satz 1 den Jahresfinanzbericht an die das Unternehmensregister führende Stelle zur Einstellung in das Unternehmensregister und zur Weiterleitung an das zentrale europäische Zugangsportal zu übermitteln.</w:t>
      </w:r>
    </w:p>
    <w:p>
      <w:r>
        <w:t xml:space="preserve">(2) Der Jahresfinanzbericht hat mindestens zu enthalten</w:t>
      </w:r>
    </w:p>
    <w:p>
      <w:pPr>
        <w:ind w:left="420"/>
      </w:pPr>
      <w:r>
        <w:t xml:space="preserve">1. den Jahresabschluss, der</w:t>
      </w:r>
    </w:p>
    <w:p>
      <w:pPr>
        <w:ind w:left="780"/>
      </w:pPr>
      <w:r>
        <w:t xml:space="preserve">a) im Falle eines Unternehmens, das seinen Sitz in einem Mitgliedstaat der Europäischen Union oder einem Vertragsstaat des Abkommens über den Europäischen Wirtschaftsraum hat, gemäß dem nationalen Recht des Sitzstaats des Unternehmens aufgestellt und geprüft wurde oder</w:t>
      </w:r>
    </w:p>
    <w:p>
      <w:pPr>
        <w:ind w:left="780"/>
      </w:pPr>
      <w:r>
        <w:t xml:space="preserve">b) im Falle eines Unternehmens, das seinen Sitz in einem Drittstaat hat, nach den Vorgaben des Handelsgesetzbuchs aufgestellt und geprüft wurde und mit dem Bestätigungsvermerk oder dem Vermerk über dessen Versagung versehen ist,</w:t>
      </w:r>
    </w:p>
    <w:p>
      <w:pPr>
        <w:ind w:left="420"/>
      </w:pPr>
      <w:r>
        <w:t xml:space="preserve">2. den Lagebericht, der</w:t>
      </w:r>
    </w:p>
    <w:p>
      <w:pPr>
        <w:ind w:left="780"/>
      </w:pPr>
      <w:r>
        <w:t xml:space="preserve">a) im Falle eines Unternehmens, das seinen Sitz in einem Mitgliedstaat der Europäischen Union oder einem Vertragsstaat des Abkommens über den Europäischen Wirtschaftsraum hat, gemäß dem nationalen Recht des Sitzstaats des Unternehmens aufgestellt und geprüft wurde oder</w:t>
      </w:r>
    </w:p>
    <w:p>
      <w:pPr>
        <w:ind w:left="780"/>
      </w:pPr>
      <w:r>
        <w:t xml:space="preserve">b) im Falle eines Unternehmens, das seinen Sitz in einem Drittstaat hat, nach den Vorgaben des Handelsgesetzbuchs aufgestellt und geprüft wurde,</w:t>
      </w:r>
    </w:p>
    <w:p>
      <w:pPr>
        <w:ind w:left="420"/>
      </w:pPr>
      <w:r>
        <w:t xml:space="preserve">3. eine den Vorgaben von § 264 Absatz 2 Satz 3, § 289 Absatz 1 Satz 5 des Handelsgesetzbuchs entsprechende Erklärung und</w:t>
      </w:r>
    </w:p>
    <w:p>
      <w:pPr>
        <w:ind w:left="420"/>
      </w:pPr>
      <w:r>
        <w:t xml:space="preserve">4. eine Bescheinigung der Wirtschaftsprüferkammer gemäß § 134 Absatz 2a der Wirtschaftsprüferordnung über die Eintragung des Abschlussprüfers oder eine Bestätigung der Wirtschaftsprüferkammer gemäß § 134 Absatz 4 Satz 8 der Wirtschaftsprüferordnung über die Befreiung von der Eintragungspflicht.</w:t>
      </w:r>
    </w:p>
    <w:p>
      <w:r>
        <w:t xml:space="preserve">(3) Das Bundesministerium der Finanzen kann im Einvernehmen mit dem Bundesministerium der Justiz und für Verbraucherschutz durch Rechtsverordnung, die nicht der Zustimmung des Bundesrates bedarf, nähere Bestimmungen erlassen über</w:t>
      </w:r>
    </w:p>
    <w:p>
      <w:pPr>
        <w:ind w:left="420"/>
      </w:pPr>
      <w:r>
        <w:t xml:space="preserve">1. den Mindestinhalt, die Art, die Sprache, den Umfang und die Form der Veröffentlichung nach Absatz 1 Satz 2,</w:t>
      </w:r>
    </w:p>
    <w:p>
      <w:pPr>
        <w:ind w:left="420"/>
      </w:pPr>
      <w:r>
        <w:t xml:space="preserve">2. den Mindestinhalt, die Art, die Sprache, den Umfang und die Form der Mitteilung nach Absatz 1 Satz 3,</w:t>
      </w:r>
    </w:p>
    <w:p>
      <w:pPr>
        <w:ind w:left="420"/>
      </w:pPr>
      <w:r>
        <w:t xml:space="preserve">3. die Sprache, in der die Informationen nach Absatz 2 abzufassen sind, sowie den Zeitraum, für den diese Informationen im Unternehmensregister allgemein zugänglich bleiben müssen und den Zeitpunkt, zu dem diese Informationen zu löschen sind.</w:t>
      </w:r>
    </w:p>
    <w:p>
      <w:r>
        <w:rPr>
          <w:color w:val="555555"/>
          <w:sz w:val="17"/>
        </w:rPr>
        <w:t xml:space="preserve">Zitiervorschlag: § 114 WpHG</w:t>
      </w:r>
    </w:p>
    <w:p>
      <w:r>
        <w:rPr>
          <w:color w:val="555555"/>
          <w:sz w:val="17"/>
        </w:rPr>
        <w:t xml:space="preserve">Quelle: Bundesamt für Justiz, abgerufen 10.07.2026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https://recht.nulegal.eu/gesetze/WpHG/114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