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113 WpHG — Beschwerde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Verfügungen der Bundesanstalt nach diesem Abschnitt ist die Beschwerde statthaft. Die Beschwerde hat keine aufschiebende Wirkung.</w:t>
      </w:r>
    </w:p>
    <w:p>
      <w:r>
        <w:t xml:space="preserve">(2) Die §§ 43 und 48 Abs. 2 bis 4, § 50 Abs. 3 bis 5 sowie die §§ 51 bis 58 des Wertpapiererwerbs- und Übernahmegesetzes gelten entsprechend.</w:t>
      </w:r>
    </w:p>
    <w:p>
      <w:r>
        <w:rPr>
          <w:color w:val="555555"/>
          <w:sz w:val="17"/>
        </w:rPr>
        <w:t xml:space="preserve">Zitiervorschlag: § 113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