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WpHG — Ergebnis der Prüfung der Bundesanstalt</w:t>
      </w:r>
    </w:p>
    <w:p>
      <w:r>
        <w:rPr>
          <w:color w:val="555555"/>
          <w:sz w:val="18"/>
        </w:rPr>
        <w:t xml:space="preserve">Wertpapierhandelsgesetz</w:t>
      </w:r>
    </w:p>
    <w:p>
      <w:r>
        <w:rPr>
          <w:color w:val="555555"/>
          <w:sz w:val="18"/>
        </w:rPr>
        <w:t xml:space="preserve">Stand: 01.08.2022 (konsolidierte Textfassung, kein amtliches Inkrafttretensdatum)</w:t>
      </w:r>
    </w:p>
    <w:p>
      <w:r>
        <w:t xml:space="preserve">(1) Ergibt die Prüfung durch die Bundesanstalt, dass die Rechnungslegung fehlerhaft ist, so stellt die Bundesanstalt den Fehler fest. Die Bundesanstalt kann darüber hinaus feststellen, wie sich die Rechnungslegung ohne den Fehler dargestellt hätte.</w:t>
      </w:r>
    </w:p>
    <w:p>
      <w:r>
        <w:t xml:space="preserve">(2) Die Bundesanstalt macht den festgestellten Fehler samt einer Feststellung nach Absatz 1 Satz 2 unter Nennung des betroffenen Unternehmens samt den wesentlichen Teilen der Begründung unverzüglich bekannt</w:t>
      </w:r>
    </w:p>
    <w:p>
      <w:pPr>
        <w:ind w:left="420"/>
      </w:pPr>
      <w:r>
        <w:t xml:space="preserve">1. auf ihrer Internetseite sowie</w:t>
      </w:r>
    </w:p>
    <w:p>
      <w:pPr>
        <w:ind w:left="420"/>
      </w:pPr>
      <w:r>
        <w:t xml:space="preserve">2. in einem überregionalen Börsenpflichtblatt oder über ein elektronisch betriebenes Informationsverbreitungssystem, das weit verbreitet ist bei Kreditinstituten, bei nach § 53 Absatz 1 Satz 1 des Kreditwesengesetzes tätigen Unternehmen, bei anderen Unternehmen, die ihren Sitz im Inland haben und die an einer inländischen Börse zur Teilnahme am Handel zugelassen sind, und bei Versicherungsunternehmen.</w:t>
      </w:r>
    </w:p>
    <w:p>
      <w:r>
        <w:t xml:space="preserve">Die Bekanntmachung der Begründung darf keine personenbezogenen Daten enthalten. Die Bundesanstalt sieht von einer Bekanntmachung ab, wenn hieran kein öffentliches Interesse besteht. Die Bundesanstalt kann im Einklang mit den materiellen Rechnungslegungsvorschriften anordnen, dass der Fehler unter Berücksichtigung der Rechtsauffassung der Bundesanstalt unter Neuaufstellung des Abschlusses oder Berichts für das geprüfte Geschäftsjahr oder im nächsten Abschluss oder Bericht zu berichtigen ist. Behebt das Unternehmen den nach Satz 1 bekannt gemachten Fehler, macht die Bundesanstalt dies auf die dort genannte Weise ebenfalls bekannt. Bekanntmachungen nach den Sätzen 1 und 5 sind außerdem unverzüglich der das Unternehmensregister führenden Stelle zur Einstellung in das Unternehmensregister zu übermitteln.</w:t>
      </w:r>
    </w:p>
    <w:p>
      <w:r>
        <w:t xml:space="preserve">(3) Ergibt die Prüfung durch die Bundesanstalt keine Beanstandungen, so teilt die Bundesanstalt dies dem Unternehmen mit. Die Bundesanstalt macht das Prüfungsergebnis gemäß Absatz 2 Satz 1 bekannt, wenn sie zuvor die Prüfung bekannt gemacht hat. Die Bekanntmachung nach Satz 2 ist außerdem unverzüglich der das Unternehmensregister führenden Stelle zur Einstellung in das Unternehmensregister zu übermitteln.</w:t>
      </w:r>
    </w:p>
    <w:p>
      <w:r>
        <w:t xml:space="preserve">(4) Die Bundesanstalt löscht die nach Absatz 2 Satz 1 und 5 sowie nach Absatz 3 Satz 2 auf ihrer Internetseite bekannt gemachten Informationen zehn Jahre nach ihrer Bekanntmachung.</w:t>
      </w:r>
    </w:p>
    <w:p>
      <w:r>
        <w:rPr>
          <w:color w:val="555555"/>
          <w:sz w:val="17"/>
        </w:rPr>
        <w:t xml:space="preserve">Zitiervorschlag: § 109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