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WpHG — Verbotene Finanztermingeschäfte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Unbeschadet der Befugnisse der Bundesanstalt nach § 15 kann das Bundesministerium der Finanzen durch Rechtsverordnung Finanztermingeschäfte verbieten oder beschränken, soweit dies zum Schutz der Anleger erforderlich ist.</w:t>
      </w:r>
    </w:p>
    <w:p>
      <w:r>
        <w:t xml:space="preserve">(2) Ein Finanztermingeschäft, das einer Rechtsverordnung nach Absatz 1 widerspricht (verbotenes Finanztermingeschäft), ist nichtig. Satz 1 gilt entsprechend für</w:t>
      </w:r>
    </w:p>
    <w:p>
      <w:pPr>
        <w:ind w:left="420"/>
      </w:pPr>
      <w:r>
        <w:t xml:space="preserve">1. die Bestellung einer Sicherheit für ein verbotenes Finanztermingeschäft,</w:t>
      </w:r>
    </w:p>
    <w:p>
      <w:pPr>
        <w:ind w:left="420"/>
      </w:pPr>
      <w:r>
        <w:t xml:space="preserve">2. eine Vereinbarung, durch die der eine Teil zum Zwecke der Erfüllung einer Schuld aus einem verbotenen Finanztermingeschäft dem anderen Teil gegenüber eine Verbindlichkeit eingeht, insbesondere für ein Schuldanerkenntnis,</w:t>
      </w:r>
    </w:p>
    <w:p>
      <w:pPr>
        <w:ind w:left="420"/>
      </w:pPr>
      <w:r>
        <w:t xml:space="preserve">3. die Erteilung und Übernahme von Aufträgen zum Zwecke des Abschlusses von verbotenen Finanztermingeschäften,</w:t>
      </w:r>
    </w:p>
    <w:p>
      <w:pPr>
        <w:ind w:left="420"/>
      </w:pPr>
      <w:r>
        <w:t xml:space="preserve">4. Vereinigungen zum Zwecke des Abschlusses von verbotenen Finanztermingeschäften.</w:t>
      </w:r>
    </w:p>
    <w:p>
      <w:r>
        <w:rPr>
          <w:color w:val="555555"/>
          <w:sz w:val="17"/>
        </w:rPr>
        <w:t xml:space="preserve">Zitiervorschlag: § 100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