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WpHG — Besondere Befugnisse nach der Verordnung (EU) Nr. 1286/2014, der Verordnung (EU) 2016/1011, der Verordnung (EU) 2019/2088, der Verordnung (EU) 2020/852 und der Verordnung (EU) 2020/1503</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Bundesanstalt überwacht die Einhaltung der Verbote und Gebote der Verordnung (EU) Nr. 1286/2014 sowie der auf deren Grundlage erlassenen delegierten Rechtsakte und Durchführungsrechtsakte der Europäischen Kommission. Gegenüber einem Wertpapierdienstleistungsunternehmen, das über ein PRIIP berät, es verkauft oder Hersteller von PRIIP ist, kann sie Anordnungen treffen, die zur Durchsetzung der in Satz 1 genannten Verbote und Gebote geeignet und erforderlich sind. Insbesondere kann sie</w:t>
      </w:r>
    </w:p>
    <w:p>
      <w:pPr>
        <w:ind w:left="420"/>
      </w:pPr>
      <w:r>
        <w:t xml:space="preserve">1. die Vermarktung, den Vertrieb oder den Verkauf des PRIIP vorübergehend oder dauerhaft untersagen, wenn ein Verstoß gegen Artikel 5 Absatz 1, die Artikel 6, 7 und 8 Absatz 1 bis 3, die Artikel 9, 10 Absatz 1, Artikel 13 Absatz 1, 3 und 4 oder die Artikel 14 oder 19 der Verordnung (EU) Nr. 1286/2014 vorliegt,</w:t>
      </w:r>
    </w:p>
    <w:p>
      <w:pPr>
        <w:ind w:left="420"/>
      </w:pPr>
      <w:r>
        <w:t xml:space="preserve">2. die Bereitstellung eines Basisinformationsblattes untersagen, das nicht den Anforderungen der Artikel 6 bis 8 oder 10 der Verordnung (EU) Nr. 1286/2014 genügt,</w:t>
      </w:r>
    </w:p>
    <w:p>
      <w:pPr>
        <w:ind w:left="420"/>
      </w:pPr>
      <w:r>
        <w:t xml:space="preserve">3. den Hersteller eines PRIIP verpflichten, eine neue Fassung des Basisinformationsblattes zu veröffentlichen, sofern die veröffentlichte Fassung nicht den Anforderungen der Artikel 6 bis 8 oder 10 der Verordnung (EU) Nr. 1286/2014 genügt, und</w:t>
      </w:r>
    </w:p>
    <w:p>
      <w:pPr>
        <w:ind w:left="420"/>
      </w:pPr>
      <w:r>
        <w:t xml:space="preserve">4. bei einem Verstoß gegen eine der in Nummer 1 genannten Vorschriften auf ihrer Internetseite eine Warnung unter Nennung des verantwortlichen Wertpapierdienstleistungsunternehmens sowie der Art des Verstoßes veröffentlichen; § 125 Absatz 3 und 5 gilt entsprechend.</w:t>
      </w:r>
    </w:p>
    <w:p>
      <w:r>
        <w:t xml:space="preserve">Die in Satz 2 genannten Befugnisse stehen der Bundesanstalt vorbehaltlich von § 34d Absatz 8 Nummer 5, § 34e Absatz 2 und § 34g Absatz 1 Satz 2 Nummer 5 der Gewerbeordnung, jeweils in Verbindung mit einer hierzu erlassenen Rechtsverordnung, § 5 Absatz 6a des Kapitalanlagegesetzbuchs, § 308a des Versicherungsaufsichtsgesetzes und § 47 des Kreditwesengesetzes auch gegenüber sonstigen Personen oder Personenvereinigungen zu, die über ein PRIIP beraten, es verkaufen oder Hersteller von PRIIP sind.</w:t>
      </w:r>
    </w:p>
    <w:p>
      <w:r>
        <w:t xml:space="preserve">(2) Außer für Versicherungsunternehmen unter Landesaufsicht ist die Bundesanstalt zuständige Behörde im Sinne des Artikels 23b Absatz 7 und des Artikels 40 Absatz 1 der Verordnung (EU) 2016/1011. Sie überwacht die Einhaltung der Verbote und Gebote der Verordnung (EU) 2016/1011 sowie der delegierten Rechtsakte und Durchführungsrechtsakte der Europäischen Kommission, die auf der Grundlage dieser Verordnung erlassen worden sind, und kann Anordnungen treffen, die zu ihrer Durchsetzung geeignet und erforderlich sind. Insbesondere kann sie</w:t>
      </w:r>
    </w:p>
    <w:p>
      <w:pPr>
        <w:ind w:left="420"/>
      </w:pPr>
      <w:r>
        <w:t xml:space="preserve">1. Maßnahmen zur korrekten Information der Öffentlichkeit über die Bereitstellung eines Referenzwertes treffen und Richtigstellungen verlangen,</w:t>
      </w:r>
    </w:p>
    <w:p>
      <w:pPr>
        <w:ind w:left="420"/>
      </w:pPr>
      <w:r>
        <w:t xml:space="preserve">2. von Kontributoren, die an Spotmärkten tätig sind und dabei Daten zur Erstellung eines Rohstoff-Referenzwertes bereitstellen, Auskünfte und die Meldung von Geschäften verlangen, soweit dies erforderlich ist, um die Einhaltung der Gebote und Verbote der Verordnung (EU) 2016/1011 in Bezug auf diese Rohstoff-Referenzwerte zu überwachen; hierbei gelten § 8 Absatz 2 Satz 2 und 3 und die Vorschriften einer nach § 8 Absatz 3 erlassenen Rechtsverordnung entsprechend,</w:t>
      </w:r>
    </w:p>
    <w:p>
      <w:pPr>
        <w:ind w:left="420"/>
      </w:pPr>
      <w:r>
        <w:t xml:space="preserve">3. bei einem Verstoß gegen die Artikel 4 bis 16, 21, 23 bis 29 und 34 der Verordnung (EU) 2016/1011 oder gegen eine vollziehbare Anordnung der Bundesanstalt, die im Zusammenhang mit einer Untersuchung betreffend die Einhaltung der Pflichten nach dieser Verordnung gemäß Nummer 1 oder 2, § 6 Absatz 2, 3 Satz 4, Absatz 8, 11 bis 13, § 7 Absatz 2 ergangen ist</w:t>
      </w:r>
    </w:p>
    <w:p>
      <w:pPr>
        <w:ind w:left="780"/>
      </w:pPr>
      <w:r>
        <w:t xml:space="preserve">a) von einem beaufsichtigten Unternehmen im Sinne des Artikels 3 Absatz 1 Nummer 17 dieser Verordnung eine dauerhafte Einstellung der den Verstoß begründenden Handlungen oder Verhaltensweisen verlangen,</w:t>
      </w:r>
    </w:p>
    <w:p>
      <w:pPr>
        <w:ind w:left="780"/>
      </w:pPr>
      <w:r>
        <w:t xml:space="preserve">b) bezüglich eines beaufsichtigten Unternehmens im Sinne des Artikels 3 Absatz 1 Nummer 17 dieser Verordnung eine Warnung gemäß § 6 Absatz 9 unter Nennung der natürlichen oder juristischen Person oder Personenvereinigung, die den Verstoß begangen hat, veröffentlichen,</w:t>
      </w:r>
    </w:p>
    <w:p>
      <w:pPr>
        <w:ind w:left="780"/>
      </w:pPr>
      <w:r>
        <w:t xml:space="preserve">c) die Zulassung oder Registrierung eines Administrators entziehen oder aussetzen,</w:t>
      </w:r>
    </w:p>
    <w:p>
      <w:pPr>
        <w:ind w:left="780"/>
      </w:pPr>
      <w:r>
        <w:t xml:space="preserve">d) einer Person für einen Zeitraum von bis zu zwei Jahren die Wahrnehmung von Führungsaufgaben bei einem Administrator oder beaufsichtigten Kontributor untersagen, wenn die Person den Verstoß vorsätzlich oder grob fahrlässig begangen hat und dieses Verhalten trotz Verwarnung durch die Bundesanstalt fortsetzt.</w:t>
      </w:r>
    </w:p>
    <w:p>
      <w:r>
        <w:t xml:space="preserve">(3) Die Bundesanstalt überwacht die Einhaltung der Verbote und Gebote der Verordnung (EU) 2019/2088 und der Verordnung (EU) 2020/852 sowie der auf deren Grundlage erlassenen delegierten Rechtsakte und technischen Durchführungs- und Regulierungsstandards der Europäischen Kommission. Gegenüber einem Wertpapierdienstleistungsunternehmen, das Anlageberatung oder Finanzportfolioverwaltung erbringt, kann sie die hierfür erforderlichen Maßnahmen treffen.</w:t>
      </w:r>
    </w:p>
    <w:p>
      <w:r>
        <w:t xml:space="preserve">(4) Die Bundesanstalt kann Anordnungen treffen, die zur Durchsetzung der Verbote und Gebote der Verordnung (EU) 2020/1503 sowie der auf deren Grundlage erlassenen delegierten Rechtsakte und Durchführungsrechtsakte der Europäischen Kommission geeignet und erforderlich sind. Insbesondere kann die Bundesanstalt</w:t>
      </w:r>
    </w:p>
    <w:p>
      <w:pPr>
        <w:ind w:left="420"/>
      </w:pPr>
      <w:r>
        <w:t xml:space="preserve">1. beim Vorliegen eines Verstoßes oder eines hinreichend begründeten Verdachts eines Verstoßes gegen die Verordnung (EU) 2020/1503,</w:t>
      </w:r>
    </w:p>
    <w:p>
      <w:pPr>
        <w:ind w:left="780"/>
      </w:pPr>
      <w:r>
        <w:t xml:space="preserve">a) den Umstand bekannt machen, dass ein Schwarmfinanzierungsdienstleister im Sinne des Artikels 2 Absatz 1 Buchstabe e der Verordnung (EU) 2020/1503 oder ein Dritter, der zur Wahrnehmung von Aufgaben im Zusammenhang mit solchen Dienstleistungen benannt wurde, seinen Verpflichtungen insbesondere aus den Kapiteln II, IV und V der Verordnung (EU) 2020/1503 nicht nachkommt,</w:t>
      </w:r>
    </w:p>
    <w:p>
      <w:pPr>
        <w:ind w:left="780"/>
      </w:pPr>
      <w:r>
        <w:t xml:space="preserve">b) zur Gewährleistung des Anlegerschutzes nach Kapitel IV der Verordnung (EU) 2020/1053 oder des reibungslosen Funktionierens des Marktes alle wesentlichen Informationen, die die Erbringung von Schwarmfinanzierungsdienstleistungen im Sinne des Artikels 2 Absatz 1 Buchstabe a der Verordnung (EU) 2020/1503 beeinflussen können, bekannt machen oder von einem Schwarmfinanzierungsdienstleister im Sinne des Artikels 2 Absatz 1 Buchstabe e der Verordnung (EU) 2020/1503 oder von einem Dritten, der zur Wahrnehmung von Aufgaben im Zusammenhang von solchen Dienstleistungen benannt wurde, die Bekanntgabe dieser Informationen verlangen,</w:t>
      </w:r>
    </w:p>
    <w:p>
      <w:pPr>
        <w:ind w:left="780"/>
      </w:pPr>
      <w:r>
        <w:t xml:space="preserve">c) die Erbringung von Schwarmfinanzierungsdienstleistungen im Sinne des Artikels 2 Absatz 1 Buchstabe a der Verordnung (EU) 2020/1503 aussetzen oder von einem Schwarmfinanzierungsdienstleister im Sinne des Artikels 2 Absatz 1 Buchstabe e der Verordnung (EU) 2020/1503 die Aussetzung der Erbringung von solchen Schwarmfinanzierungsdienstleistungen verlangen, wenn die Bundesanstalt der Auffassung ist, dass die Erbringung dieser Schwarmfinanzierungsdienstleistungen den Anlegerinteressen abträglich wäre,</w:t>
      </w:r>
    </w:p>
    <w:p>
      <w:pPr>
        <w:ind w:left="780"/>
      </w:pPr>
      <w:r>
        <w:t xml:space="preserve">d) vorbehaltlich der Zustimmung der Kunden im Sinne von Artikel 2 Absatz 1 Buchstabe g der Verordnung (EU) 2020/1503 und des übernehmenden Schwarmfinanzierungsdienstleisters im Sinne des Artikels 2 Absatz 1 Buchstabe e der Verordnung (EU) 2020/1503 bestehende Verträge an einen anderen Schwarmfinanzierungsdienstleister übertragen, falls einem Schwarmfinanzierungsdienstleister die Zulassung nach Artikel 17 Absatz 1 Unterabsatz 1 Buchstabe c entzogen wurde,</w:t>
      </w:r>
    </w:p>
    <w:p>
      <w:pPr>
        <w:ind w:left="420"/>
      </w:pPr>
      <w:r>
        <w:t xml:space="preserve">2. bei einem hinreichend begründeten Verdacht für das Vorliegen eines Verstoßes gegen die Verordnung (EU) 2020/1503 in jedem einzelnen Fall</w:t>
      </w:r>
    </w:p>
    <w:p>
      <w:pPr>
        <w:ind w:left="780"/>
      </w:pPr>
      <w:r>
        <w:t xml:space="preserve">a) ein Schwarmfinanzierungsangebot im Sinne des Artikels 2 Absatz 1 Buchstabe f der Verordnung (EU) 2020/1503 untersagen oder für maximal zehn aufeinanderfolgende Arbeitstage aussetzen,</w:t>
      </w:r>
    </w:p>
    <w:p>
      <w:pPr>
        <w:ind w:left="780"/>
      </w:pPr>
      <w:r>
        <w:t xml:space="preserve">b) die Erbringung von Schwarmfinanzierungsdienstleistungen im Sinne des Artikels 2 Absatz 1 Buchstabe a der Verordnung (EU) 2020/1503 für maximal zehn aufeinanderfolgende Arbeitstage aussetzen oder von einem Schwarmfinanzierungsdienstleister im Sinne des Artikels 2 Absatz 1 Buchstabe e der Verordnung (EU) 2020/1503 für maximal zehn aufeinanderfolgende Arbeitstage die Aussetzung der Erbringung von solchen Schwarmfinanzierungsdienstleistungen verlangen,</w:t>
      </w:r>
    </w:p>
    <w:p>
      <w:pPr>
        <w:ind w:left="780"/>
      </w:pPr>
      <w:r>
        <w:t xml:space="preserve">c) Marketingmitteilungen im Sinne des Artikels 2 Absatz 1 Buchstabe o der Verordnung (EU) 2020/1503 untersagen oder für maximal zehn aufeinanderfolgende Arbeitstage aussetzen oder Schwarmfinanzierungsdienstleistern im Sinne des Artikels 2 Absatz 1 Buchstabe e der Verordnung (EU) 2020/1503 oder Dritten, die mit der Wahrnehmung von Funktionen in Bezug auf die Schwarmfinanzierungsdienstleistungen beauftragt wurden, vorschreiben, solche Marketingmitteilungen zu unterlassen oder für maximal zehn aufeinanderfolgende Arbeitstage auszusetzen,</w:t>
      </w:r>
    </w:p>
    <w:p>
      <w:pPr>
        <w:ind w:left="420"/>
      </w:pPr>
      <w:r>
        <w:t xml:space="preserve">3. die Erbringung von Schwarmfinanzierungsdienstleistungen untersagen, wenn sie das Vorliegen eines Verstoßes gegen die Verordnung (EU) 2020/1503 feststellt.</w:t>
      </w:r>
    </w:p>
    <w:p>
      <w:r>
        <w:rPr>
          <w:color w:val="555555"/>
          <w:sz w:val="17"/>
        </w:rPr>
        <w:t xml:space="preserve">Zitiervorschlag: § 10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