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WpHG — Anwendungsbereich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Dieses Gesetz enthält Regelungen in Bezug auf</w:t>
      </w:r>
    </w:p>
    <w:p>
      <w:pPr>
        <w:ind w:left="420"/>
      </w:pPr>
      <w:r>
        <w:t xml:space="preserve">1. die Erbringung von Wertpapierdienstleistungen und Wertpapiernebendienstleistungen,</w:t>
      </w:r>
    </w:p>
    <w:p>
      <w:pPr>
        <w:ind w:left="420"/>
      </w:pPr>
      <w:r>
        <w:t xml:space="preserve">2. die Erbringung von Datenbereitstellungsdiensten und die Organisation von Datenbereitstellungsdienstleistern,</w:t>
      </w:r>
    </w:p>
    <w:p>
      <w:pPr>
        <w:ind w:left="420"/>
      </w:pPr>
      <w:r>
        <w:t xml:space="preserve">3. das marktmissbräuchliche Verhalten im börslichen und außerbörslichen Handel mit Finanzinstrumenten,</w:t>
      </w:r>
    </w:p>
    <w:p>
      <w:pPr>
        <w:ind w:left="420"/>
      </w:pPr>
      <w:r>
        <w:t xml:space="preserve">4. die Vermarktung, den Vertrieb und den Verkauf von Finanzinstrumenten und strukturierten Einlagen,</w:t>
      </w:r>
    </w:p>
    <w:p>
      <w:pPr>
        <w:ind w:left="420"/>
      </w:pPr>
      <w:r>
        <w:t xml:space="preserve">5. die Konzeption von Finanzinstrumenten zum Vertrieb,</w:t>
      </w:r>
    </w:p>
    <w:p>
      <w:pPr>
        <w:ind w:left="420"/>
      </w:pPr>
      <w:r>
        <w:t xml:space="preserve">6. die Überwachung von Unternehmensabschlüssen und die Veröffentlichung von Finanzberichten, die den Vorschriften dieses Gesetzes unterliegen,</w:t>
      </w:r>
    </w:p>
    <w:p>
      <w:pPr>
        <w:ind w:left="420"/>
      </w:pPr>
      <w:r>
        <w:t xml:space="preserve">7. die Veränderungen der Stimmrechtsanteile von Aktionären an börsennotierten Gesellschaften sowie</w:t>
      </w:r>
    </w:p>
    <w:p>
      <w:pPr>
        <w:ind w:left="420"/>
      </w:pPr>
      <w:r>
        <w:t xml:space="preserve">8. die Zuständigkeiten und Befugnisse der Bundesanstalt für Finanzdienstleistungsaufsicht (Bundesanstalt) und die Ahndung von Verstößen hinsichtlich</w:t>
      </w:r>
    </w:p>
    <w:p>
      <w:pPr>
        <w:ind w:left="780"/>
      </w:pPr>
      <w:r>
        <w:t xml:space="preserve">a) der Vorschriften dieses Gesetzes,</w:t>
      </w:r>
    </w:p>
    <w:p>
      <w:pPr>
        <w:ind w:left="780"/>
      </w:pPr>
      <w:r>
        <w:t xml:space="preserve">b) der Verordnung (EG) Nr. 1060/2009,</w:t>
      </w:r>
    </w:p>
    <w:p>
      <w:pPr>
        <w:ind w:left="780"/>
      </w:pPr>
      <w:r>
        <w:t xml:space="preserve">c) der Verordnung (EU) Nr. 236/2012,</w:t>
      </w:r>
    </w:p>
    <w:p>
      <w:pPr>
        <w:ind w:left="780"/>
      </w:pPr>
      <w:r>
        <w:t xml:space="preserve">d) der Verordnung (EU) Nr. 648/2012,</w:t>
      </w:r>
    </w:p>
    <w:p>
      <w:pPr>
        <w:ind w:left="780"/>
      </w:pPr>
      <w:r>
        <w:t xml:space="preserve">e) der Verordnung (EU) Nr. 596/2014,</w:t>
      </w:r>
    </w:p>
    <w:p>
      <w:pPr>
        <w:ind w:left="780"/>
      </w:pPr>
      <w:r>
        <w:t xml:space="preserve">f) der Verordnung (EU) Nr. 600/2014,</w:t>
      </w:r>
    </w:p>
    <w:p>
      <w:pPr>
        <w:ind w:left="780"/>
      </w:pPr>
      <w:r>
        <w:t xml:space="preserve">g) der Verordnung (EU) Nr. 909/2014,</w:t>
      </w:r>
    </w:p>
    <w:p>
      <w:pPr>
        <w:ind w:left="780"/>
      </w:pPr>
      <w:r>
        <w:t xml:space="preserve">h) der Verordnung (EU) Nr. 1286/2014,</w:t>
      </w:r>
    </w:p>
    <w:p>
      <w:pPr>
        <w:ind w:left="780"/>
      </w:pPr>
      <w:r>
        <w:t xml:space="preserve">i) der Verordnung (EU) 2015/2365,</w:t>
      </w:r>
    </w:p>
    <w:p>
      <w:pPr>
        <w:ind w:left="780"/>
      </w:pPr>
      <w:r>
        <w:t xml:space="preserve">j) der Verordnung (EU) 2016/1011,</w:t>
      </w:r>
    </w:p>
    <w:p>
      <w:pPr>
        <w:ind w:left="780"/>
      </w:pPr>
      <w:r>
        <w:t xml:space="preserve">k) der Verordnung (EU) 2017/1129,</w:t>
      </w:r>
    </w:p>
    <w:p>
      <w:pPr>
        <w:ind w:left="780"/>
      </w:pPr>
      <w:r>
        <w:t xml:space="preserve">l) der Verordnung (EU) 2019/2088, sofern es sich um Wertpapierdienstleistungsunternehmen handelt, die Anlageberatung oder Finanzportfolioverwaltung betreiben,</w:t>
      </w:r>
    </w:p>
    <w:p>
      <w:pPr>
        <w:ind w:left="780"/>
      </w:pPr>
      <w:r>
        <w:t xml:space="preserve">m) der Verordnung (EU) 2019/1238,</w:t>
      </w:r>
    </w:p>
    <w:p>
      <w:pPr>
        <w:ind w:left="780"/>
      </w:pPr>
      <w:r>
        <w:t xml:space="preserve">n) der Verordnung (EU) 2020/852, sofern es sich um Wertpapierdienstleistungsunternehmen handelt, die Anlageberatung oder Finanzportfolioverwaltung betreiben,</w:t>
      </w:r>
    </w:p>
    <w:p>
      <w:pPr>
        <w:ind w:left="780"/>
      </w:pPr>
      <w:r>
        <w:t xml:space="preserve">o) der Verordnung (EU) 2020/1503,</w:t>
      </w:r>
    </w:p>
    <w:p>
      <w:pPr>
        <w:ind w:left="780"/>
      </w:pPr>
      <w:r>
        <w:t xml:space="preserve">p) der Delegierten Verordnungen und Durchführungsverordnungen der Europäischen Kommission zur Richtlinie 2014/65/EU,</w:t>
      </w:r>
    </w:p>
    <w:p>
      <w:pPr>
        <w:ind w:left="780"/>
      </w:pPr>
      <w:r>
        <w:t xml:space="preserve">q) der Delegierte Verordnungen und Durchführungsverordnungen der Europäischen Kommission zur Richtlinie 2004/109/EG,</w:t>
      </w:r>
    </w:p>
    <w:p>
      <w:pPr>
        <w:ind w:left="780"/>
      </w:pPr>
      <w:r>
        <w:t xml:space="preserve">r) der Verordnung (EU) 2022/2554,</w:t>
      </w:r>
    </w:p>
    <w:p>
      <w:pPr>
        <w:ind w:left="780"/>
      </w:pPr>
      <w:r>
        <w:t xml:space="preserve">s) der Verordnung (EU) 2023/2631.</w:t>
      </w:r>
    </w:p>
    <w:p>
      <w:r>
        <w:t xml:space="preserve">(2) Soweit nicht abweichend geregelt, sind die Vorschriften des Abschnitts 11 sowie die §§ 54 bis 57 auch anzuwenden auf Handlungen und Unterlassungen, die im Ausland vorgenommen werden, sofern sie</w:t>
      </w:r>
    </w:p>
    <w:p>
      <w:pPr>
        <w:ind w:left="420"/>
      </w:pPr>
      <w:r>
        <w:t xml:space="preserve">1. einen Emittenten mit Sitz im Inland,</w:t>
      </w:r>
    </w:p>
    <w:p>
      <w:pPr>
        <w:ind w:left="420"/>
      </w:pPr>
      <w:r>
        <w:t xml:space="preserve">2. Finanzinstrumente, die an einem inländischen organisierten Markt, einem inländischen multilateralen Handelssystem oder einem inländischen organisierten Handelssystem gehandelt werden oder</w:t>
      </w:r>
    </w:p>
    <w:p>
      <w:pPr>
        <w:ind w:left="420"/>
      </w:pPr>
      <w:r>
        <w:t xml:space="preserve">3. Wertpapierdienstleistungen oder Wertpapiernebendienstleistungen, die im Inland angeboten werden,</w:t>
      </w:r>
    </w:p>
    <w:p>
      <w:r>
        <w:t xml:space="preserve">betreffen. Die §§ 54 bis 57 gelten auch für im Ausland außerhalb eines Handelsplatzes gehandelte Warenderivate, die wirtschaftlich gleichwertig mit Warenderivaten sind, die an Handelsplätzen im Inland gehandelt werden.</w:t>
      </w:r>
    </w:p>
    <w:p>
      <w:r>
        <w:t xml:space="preserve">(3) Bei Anwendung der Vorschriften der Abschnitte 6, 7 und 16 unberücksichtigt bleiben Anteile und Aktien an offenen Investmentvermögen im Sinne des § 1 Absatz 4 des Kapitalanlagegesetzbuchs. Für Abschnitt 6 gilt dies nur, soweit es sich nicht um Spezial-AIF im Sinne des § 1 Absatz 6 des Kapitalanlagegesetzbuchs handelt.</w:t>
      </w:r>
    </w:p>
    <w:p>
      <w:r>
        <w:rPr>
          <w:color w:val="555555"/>
          <w:sz w:val="17"/>
        </w:rPr>
        <w:t xml:space="preserve">Zitiervorschlag: § 1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