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WpDVerOV 2018</w:t>
      </w:r>
    </w:p>
    <w:p>
      <w:r>
        <w:rPr>
          <w:color w:val="555555"/>
          <w:sz w:val="18"/>
        </w:rPr>
        <w:t xml:space="preserve">Wertpapierdienstleistungs-Verhaltens- und -Organisationsverordnung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verordnet</w:t>
      </w:r>
    </w:p>
    <w:p>
      <w:pPr>
        <w:ind w:left="420"/>
      </w:pPr>
      <w:r>
        <w:t xml:space="preserve">– das Bundesministerium der Finanzen im Einvernehmen mit dem Bundesministerium der Justiz und für Verbraucherschutz auf Grund des § 64 Absatz 10 Satz 1 Nummer 1 des Wertpapierhandelsgesetzes, der durch Artikel 3a Nummer 3 Buchstabe b des Gesetzes vom 23. Juni 2017 (BGBl. I S. 1693) neu gefasst worden ist,</w:t>
      </w:r>
    </w:p>
    <w:p>
      <w:pPr>
        <w:ind w:left="420"/>
      </w:pPr>
      <w:r>
        <w:t xml:space="preserve">– das Bundesministerium der Finanzen auf Grund</w:t>
      </w:r>
    </w:p>
    <w:p>
      <w:pPr>
        <w:ind w:left="780"/>
      </w:pPr>
      <w:r>
        <w:t xml:space="preserve">– des § 64 Absatz 10 Satz 1 Nummer 2 und 3 des Wertpapierhandelsgesetzes, der durch Artikel 3 Nummer 64 des Gesetzes vom 23. Juni 2017 (BGBl. I S. 1693) angefügt worden ist,</w:t>
      </w:r>
    </w:p>
    <w:p>
      <w:pPr>
        <w:ind w:left="780"/>
      </w:pPr>
      <w:r>
        <w:t xml:space="preserve">– des § 31a Absatz 7 Satz 1 des Wertpapierhandelsgesetzes, der durch Artikel 3 Nummer 66 Buchstabe g des Gesetzes vom 23. Juni 2017 (BGBl. I S. 1693) neu gefasst worden ist,</w:t>
      </w:r>
    </w:p>
    <w:p>
      <w:pPr>
        <w:ind w:left="780"/>
      </w:pPr>
      <w:r>
        <w:t xml:space="preserve">– des § 31c Absatz 4 Satz 1 des Wertpapierhandelsgesetzes, der durch Artikel 3 Nummer 68 Buchstabe e des Gesetzes vom 23. Juni 2017 (BGBl. I S. 1693) neu gefasst worden ist,</w:t>
      </w:r>
    </w:p>
    <w:p>
      <w:pPr>
        <w:ind w:left="780"/>
      </w:pPr>
      <w:r>
        <w:t xml:space="preserve">– des § 31d Absatz 9 Satz 1 des Wertpapierhandelsgesetzes, der durch Artikel 3 Nummer 69 Buchstabe h des Gesetzes vom 23. Juni 2017 (BGBl. I S. 1693) angefügt worden ist,</w:t>
      </w:r>
    </w:p>
    <w:p>
      <w:pPr>
        <w:ind w:left="780"/>
      </w:pPr>
      <w:r>
        <w:t xml:space="preserve">– des § 33 Absatz 14 Satz 1 des Wertpapierhandelsgesetzes, der durch Artikel 3 Nummer 80 Buchstabe i des Gesetzes vom 23. Juni 2017 (BGBl. I S. 1693) neu gefasst worden ist,</w:t>
      </w:r>
    </w:p>
    <w:p>
      <w:pPr>
        <w:ind w:left="780"/>
      </w:pPr>
      <w:r>
        <w:t xml:space="preserve">– des § 34 Absatz 10 Satz 1 des Wertpapierhandelsgesetzes, der zuletzt durch Artikel 3 Nummer 84 Buchstabe h des Gesetzes vom 23. Juni 2017 (BGBl. I S. 1693) geändert worden ist, und</w:t>
      </w:r>
    </w:p>
    <w:p>
      <w:pPr>
        <w:ind w:left="780"/>
      </w:pPr>
      <w:r>
        <w:t xml:space="preserve">– des § 34a Absatz 10 Satz 1 des Wertpapierhandelsgesetzes, der zuletzt durch Artikel 3 Nummer 85 Buchstabe h des Gesetzes vom 23. Juni 2017 (BGBl. I S. 1693) geändert worden ist:</w:t>
      </w:r>
    </w:p>
    <w:p>
      <w:r>
        <w:rPr>
          <w:color w:val="555555"/>
          <w:sz w:val="17"/>
        </w:rPr>
        <w:t xml:space="preserve">Zitiervorschlag: Eingangsformel WpDVerOV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https://recht.nulegal.eu/gesetze/WpDVerOV%202018/eingangsformel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