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WpDVerOV 2018 — Anforderungen an die Unabhängige Honorar-Anlageberatung</w:t>
      </w:r>
    </w:p>
    <w:p>
      <w:r>
        <w:rPr>
          <w:color w:val="555555"/>
          <w:sz w:val="18"/>
        </w:rPr>
        <w:t xml:space="preserve">Wertpapierdienstleistungs-Verhaltens- und -Organisationsverordnung</w:t>
      </w:r>
    </w:p>
    <w:p>
      <w:r>
        <w:rPr>
          <w:color w:val="555555"/>
          <w:sz w:val="18"/>
        </w:rPr>
        <w:t xml:space="preserve">Stand: 10.06.2019 (konsolidierte Textfassung, kein amtliches Inkrafttretensdatum)</w:t>
      </w:r>
    </w:p>
    <w:p>
      <w:r>
        <w:t xml:space="preserve">Um die Unabhängige Honorar-Anlageberatung von der übrigen Anlageberatung nach § 80 Absatz 7 des Wertpapierhandelsgesetzes zu trennen, müssen Wertpapierdienstleistungsunternehmen entsprechend ihrer Größe und Organisation sowie der Art, des Umfangs und der Komplexität ihrer Geschäftstätigkeit sicherstellen, dass seitens der übrigen Anlageberatung kein Einfluss auf die Unabhängige Honorar-Anlageberatung ausgeübt werden kann. Dazu ist insbesondere sicherzustellen, dass die Vertriebsvorgaben für die Unabhängige Honorar-Anlageberatung unabhängig von den Vertriebsvorgaben für die übrige Anlageberatung ausgestaltet, umgesetzt und überwacht werden und die Anforderungen gemäß Artikel 53 Absatz 3 Satz 2 der Verordnung (EU) 2017/565 erfüllt werden.</w:t>
      </w:r>
    </w:p>
    <w:p>
      <w:r>
        <w:rPr>
          <w:color w:val="555555"/>
          <w:sz w:val="17"/>
        </w:rPr>
        <w:t xml:space="preserve">Zitiervorschlag: § 8 WpDVerOV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https://recht.nulegal.eu/gesetze/WpDVerOV%202018/8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