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WpDVerOV 2018 — Zuwendungen im Zusammenhang mit Analysen</w:t>
      </w:r>
    </w:p>
    <w:p>
      <w:r>
        <w:rPr>
          <w:color w:val="555555"/>
          <w:sz w:val="18"/>
        </w:rPr>
        <w:t xml:space="preserve">Wertpapierdienstleistungs-Verhaltens- und -Organisationsverordnung</w:t>
      </w:r>
    </w:p>
    <w:p>
      <w:r>
        <w:rPr>
          <w:color w:val="555555"/>
          <w:sz w:val="18"/>
        </w:rPr>
        <w:t xml:space="preserve">Stand: 10.06.2019 (konsolidierte Textfassung, kein amtliches Inkrafttretensdatum)</w:t>
      </w:r>
    </w:p>
    <w:p>
      <w:r>
        <w:t xml:space="preserve">(1) Für die Zwecke des § 70 Absatz 2 Satz 2 Nummer 2 Buchstabe a des Wertpapierhandelsgesetzes darf eine spezielle Analysegebühr</w:t>
      </w:r>
    </w:p>
    <w:p>
      <w:pPr>
        <w:ind w:left="420"/>
      </w:pPr>
      <w:r>
        <w:t xml:space="preserve">1. ausschließlich auf einem Analysebudget basieren, das von dem Wertpapierdienstleistungsunternehmen festgelegt wird, um den Bedarf an Analysen Dritter hinsichtlich der für die Kunden erbrachten Wertpapierdienstleistungen zu ermitteln und</w:t>
      </w:r>
    </w:p>
    <w:p>
      <w:pPr>
        <w:ind w:left="420"/>
      </w:pPr>
      <w:r>
        <w:t xml:space="preserve">2. nicht an das Volumen oder den Wert der im Kundenauftrag ausgeführten Geschäfte gebunden sein.</w:t>
      </w:r>
    </w:p>
    <w:p>
      <w:r>
        <w:t xml:space="preserve">Wird die Analysegebühr zusammen mit dem Entgelt für ein Geschäft erhoben, muss jede operative Regelung für die Erhebung die Analysegebühr separat ermittelbar ausweisen; zudem muss die Regelung die Bedingungen nach § 70 Absatz 2 Satz 2 Nummer 2 und Satz 3 des Wertpapierhandelsgesetzes erfüllen. Der Gesamtbetrag der eingenommenen Analysegebühren darf das Analysebudget nicht übersteigen.</w:t>
      </w:r>
    </w:p>
    <w:p>
      <w:r>
        <w:t xml:space="preserve">(2) Das Wertpapierdienstleistungsunternehmen muss im Vertrag über die Finanzportfolioverwaltung oder in den Allgemeinen Geschäftsbedingungen mit den Kunden eine Vereinbarung über die Analysegebühr treffen, die auf dem Analysebudget basiert. Die Vereinbarung muss eine Regelung zu den zeitlichen Abständen enthalten, in denen die Analysegebühr während des Jahres von den Kundenmitteln einbehalten wird. Eine Erhöhung des Analysebudgets darf erst erfolgen, nachdem die Kunden unmissverständlich über die beabsichtigte Erhöhung unterrichtet wurden.</w:t>
      </w:r>
    </w:p>
    <w:p>
      <w:r>
        <w:t xml:space="preserve">(3) Das Wertpapierdienstleistungsunternehmen hat ein Verfahren einzurichten, nach dem etwaige Überschüsse, die auf einem Analysekonto am Ende eines vorher festgelegten Zeitraums verbleiben, dem jeweiligen Kunden zurückerstattet oder mit dem Analysebudget und der kalkulierten Gebühr für den Folgezeitraum verrechnet werden.</w:t>
      </w:r>
    </w:p>
    <w:p>
      <w:r>
        <w:t xml:space="preserve">(4) Das Analysebudget im Sinne des § 70 Absatz 2 Satz 2 Nummer 2 Buchstabe b des Wertpapierhandelsgesetzes darf ausschließlich von dem Wertpapierdienstleistungsunternehmen verwaltet werden. Es ist auf der Grundlage einer angemessenen Bewertung des Bedarfs an Analysen Dritter festzusetzen. Die Zuweisung des Analysebudgets für den Erwerb von Analysen Dritter muss angemessenen Kontrollen und der Aufsicht durch die Geschäftsleitung unterworfen sein, damit das Analysebudget im besten Interesse der Kunden verwaltet und verwendet wird. Die Kontrollen nach Satz 2 müssen einen eindeutigen Prüfpfad umfassen zu</w:t>
      </w:r>
    </w:p>
    <w:p>
      <w:pPr>
        <w:ind w:left="420"/>
      </w:pPr>
      <w:r>
        <w:t xml:space="preserve">1. den an Analyseanbieter geleisteten Zahlungen und</w:t>
      </w:r>
    </w:p>
    <w:p>
      <w:pPr>
        <w:ind w:left="420"/>
      </w:pPr>
      <w:r>
        <w:t xml:space="preserve">2. der Art und Weise, wie die gezahlten Beträge im Hinblick auf die unter § 70 Absatz 2 Satz 2 Nummer 2 Buchstabe d des Wertpapierhandelsgesetzes genannten Qualitätskriterien festgelegt wurden.</w:t>
      </w:r>
    </w:p>
    <w:p>
      <w:r>
        <w:t xml:space="preserve">(5) Wertpapierdienstleistungsunternehmen dürfen das Analysebudget und das Analysekonto nicht zur Finanzierung interner Analysen verwenden.</w:t>
      </w:r>
    </w:p>
    <w:p>
      <w:r>
        <w:t xml:space="preserve">(6) Das Wertdienstleistungsunternehmen kann für die Zwecke des § 70 Absatz 2 Satz 2 Nummer 2 Buchstabe c des Wertpapierhandelsgesetzes die Verwaltung des Analysekontos einem Dritten übertragen, sofern die Vereinbarung darüber den Erwerb von Analysen Dritter und eine Zahlung an Analyseanbieter im Namen und gemäß der Weisung des Wertpapierdienstleistungsunternehmens ohne unangemessene Verzögerungen ermöglicht.</w:t>
      </w:r>
    </w:p>
    <w:p>
      <w:r>
        <w:t xml:space="preserve">(7) Die schriftlichen Grundsätze nach § 70 Absatz 2 Satz 4 des Wertpapierhandelsgesetzes müssen auch Informationen enthalten zu:</w:t>
      </w:r>
    </w:p>
    <w:p>
      <w:pPr>
        <w:ind w:left="420"/>
      </w:pPr>
      <w:r>
        <w:t xml:space="preserve">1. dem Umfang der über das Analysekonto erworbenen Analysen, die den Portfolios der Kunden zugutekommen können, wobei, sofern zutreffend, den für die verschiedenen Arten von Portfolios geltenden Anlagestrategien Rechnung zu tragen ist, und</w:t>
      </w:r>
    </w:p>
    <w:p>
      <w:pPr>
        <w:ind w:left="420"/>
      </w:pPr>
      <w:r>
        <w:t xml:space="preserve">2. dem vom Wertpapierdienstleistungsunternehmen gewählten Verfahren zur gerechten Verteilung der Kosten für die über das Analysekonto erworbenen Analysen auf die verschiedenen Kundenportfolios.</w:t>
      </w:r>
    </w:p>
    <w:p>
      <w:r>
        <w:rPr>
          <w:color w:val="555555"/>
          <w:sz w:val="17"/>
        </w:rPr>
        <w:t xml:space="preserve">Zitiervorschlag: § 7 WpDVerOV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https://recht.nulegal.eu/gesetze/WpDVerOV%202018/7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