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WpDVerOV 2018 — Aufhebung der Bekanntmachungspflicht nach § 69 Absatz 2 des Wertpapierhandelsgesetzes</w:t>
      </w:r>
    </w:p>
    <w:p>
      <w:r>
        <w:rPr>
          <w:color w:val="555555"/>
          <w:sz w:val="18"/>
        </w:rPr>
        <w:t xml:space="preserve">Wertpapierdienstleistungs-Verhaltens- und -Organisationsverordnung</w:t>
      </w:r>
    </w:p>
    <w:p>
      <w:r>
        <w:rPr>
          <w:color w:val="555555"/>
          <w:sz w:val="18"/>
        </w:rPr>
        <w:t xml:space="preserve">Stand: 10.06.2019 (konsolidierte Textfassung, kein amtliches Inkrafttretensdatum)</w:t>
      </w:r>
    </w:p>
    <w:p>
      <w:r>
        <w:t xml:space="preserve">Eine Aufhebung der Bekanntmachungspflicht nach § 69 Absatz 2 Satz 3 des Wertpapierhandelsgesetzes setzt voraus, dass die Mindestvolumina erreicht sind, die in Anhang II Tabelle 1 der Delegierten Verordnung (EU) 2017/587 der Kommission vom 14. Juli 2016 zur Ergänzung der Verordnung (EU) Nr. 600/2014 des Europäischen Parlaments und des Rates über Märkte für Finanzinstrumente durch technische Regulierungsstandards mit Transparenzanforderungen für Handelsplätze und Wertpapierfirmen in Bezug auf Aktien, Aktienzertifikate, börsengehandelte Fonds, Zertifikate und andere vergleichbare Finanzinstrumente und mit Ausführungspflichten in Bezug auf bestimmte Aktiengeschäfte an einem Handelsplatz oder über einen systematischen Internalisierer (ABl. L 87 vom 31.3.2017, S. 387) genannt sind.</w:t>
      </w:r>
    </w:p>
    <w:p>
      <w:r>
        <w:rPr>
          <w:color w:val="555555"/>
          <w:sz w:val="17"/>
        </w:rPr>
        <w:t xml:space="preserve">Zitiervorschlag: § 5 WpDVerOV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https://recht.nulegal.eu/gesetze/WpDVerOV%202018/5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