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WpDVerOV 2018 — Kundeninformationen über das Wertpapierdienstleistungsunternehmen und die Wertpapierdienstleistung im Rahmen der Unabhängigen Honorar-Anlageberatung</w:t>
      </w:r>
    </w:p>
    <w:p>
      <w:r>
        <w:rPr>
          <w:color w:val="555555"/>
          <w:sz w:val="18"/>
        </w:rPr>
        <w:t xml:space="preserve">Wertpapierdienstleistungs-Verhaltens- und -Organisationsverordnung</w:t>
      </w:r>
    </w:p>
    <w:p>
      <w:r>
        <w:rPr>
          <w:color w:val="555555"/>
          <w:sz w:val="18"/>
        </w:rPr>
        <w:t xml:space="preserve">Stand: 10.06.2019 (konsolidierte Textfassung, kein amtliches Inkrafttretensdatum)</w:t>
      </w:r>
    </w:p>
    <w:p>
      <w:r>
        <w:t xml:space="preserve">(1) Die Information nach § 64 Absatz 6 Satz 1 des Wertpapierhandelsgesetzes ist dem Kunden für jedes zu empfehlende Finanzinstrument unmittelbar vor der Empfehlung zur Verfügung zu stellen.</w:t>
      </w:r>
    </w:p>
    <w:p>
      <w:r>
        <w:t xml:space="preserve">(2) Die Informationen nach § 64 Absatz 6 Satz 1 des Wertpapierhandelsgesetzes sind auf einem dauerhaften Datenträger im Sinne des § 2 Absatz 43 des Wertpapierhandelsgesetzes zur Verfügung zu stellen. Artikel 3 der Delegierten Verordnung (EU) 2017/565 der Kommission vom 25. April 2016 zur Ergänzung der Richtlinie 2014/65/EU des Europäischen Parlaments und des Rates in Bezug auf die organisatorischen Anforderungen an Wertpapierfirmen und die Bedingungen für die Ausübung ihrer Tätigkeit sowie in Bezug auf die Definition bestimmter Begriffe für die Zwecke der genannten Richtlinie (ABl. L 87 vom 31.3.2017, S. 1) gilt entsprechend.</w:t>
      </w:r>
    </w:p>
    <w:p>
      <w:r>
        <w:rPr>
          <w:color w:val="555555"/>
          <w:sz w:val="17"/>
        </w:rPr>
        <w:t xml:space="preserve">Zitiervorschlag: § 3 WpDVerOV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https://recht.nulegal.eu/gesetze/WpDVerOV%202018/3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