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WpDVerOV 2018 — Inkrafttreten, Außerkrafttreten</w:t>
      </w:r>
    </w:p>
    <w:p>
      <w:r>
        <w:rPr>
          <w:color w:val="555555"/>
          <w:sz w:val="18"/>
        </w:rPr>
        <w:t xml:space="preserve">Wertpapierdienstleistungs-Verhaltens- und -Organisationsverordnung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Diese Verordnung tritt am 3. Januar 2018 in Kraft. Gleichzeitig tritt die Wertpapierdienstleistungs-Verhaltens- und Organisationsverordnung vom 20. Juli 2007 (BGBl. I S. 1432), die zuletzt durch Artikel 16 Absatz 4 des Gesetzes vom 30. Juni 2016 (BGBl. I S. 1514) geändert worden ist, außer Kraft.</w:t>
      </w:r>
    </w:p>
    <w:p>
      <w:r>
        <w:rPr>
          <w:color w:val="555555"/>
          <w:sz w:val="17"/>
        </w:rPr>
        <w:t xml:space="preserve">Zitiervorschlag: § 22 WpDVerOV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https://recht.nulegal.eu/gesetze/WpDVerOV%202018/22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WpDVerOV 2018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