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WpDVerOV 2018 — Anerkennung ausländischer Berufsbefähigungsnachweise im Rahmen der Niederlassungsfreiheit</w:t>
      </w:r>
    </w:p>
    <w:p>
      <w:r>
        <w:rPr>
          <w:color w:val="555555"/>
          <w:sz w:val="18"/>
        </w:rPr>
        <w:t xml:space="preserve">Wertpapierdienstleistungs-Verhaltens- und -Organisationsverordnung</w:t>
      </w:r>
    </w:p>
    <w:p>
      <w:r>
        <w:rPr>
          <w:color w:val="555555"/>
          <w:sz w:val="18"/>
        </w:rPr>
        <w:t xml:space="preserve">Stand: 14.03.2026 (konsolidierte Textfassung, kein amtliches Inkrafttretensdatum)</w:t>
      </w:r>
    </w:p>
    <w:p>
      <w:r>
        <w:t xml:space="preserve">(1) Als Nachweis der erforderlichen Sachkunde nach § 14 Absatz 2, auch in Verbindung mit § 14 Absatz 7, nach § 15 Absatz 2, § 16 Absatz 2, § 17 Absatz 2 oder § 18 Absatz 1 Satz 2 werden auch Befähigungs- und Ausbildungsnachweise anerkannt, die</w:t>
      </w:r>
    </w:p>
    <w:p>
      <w:pPr>
        <w:ind w:left="420"/>
      </w:pPr>
      <w:r>
        <w:t xml:space="preserve">1. von einer zuständigen Stelle eines anderen Mitgliedstaats der Europäischen Union oder eines anderen Vertragsstaats des Abkommens über den Europäischen Wirtschaftsraum ausgestellt oder anerkannt worden sind und</w:t>
      </w:r>
    </w:p>
    <w:p>
      <w:pPr>
        <w:ind w:left="420"/>
      </w:pPr>
      <w:r>
        <w:t xml:space="preserve">2. in dem Staat, in dem sie ausgestellt wurden, erforderlich sind, um als Mitarbeiter einer Wertpapierfirma im Sinne des Artikels 4 Absatz 1 Nummer 1 der Richtlinie 2014/65/EU mit einer vergleichbaren Tätigkeit betraut zu werden.</w:t>
      </w:r>
    </w:p>
    <w:p>
      <w:r>
        <w:t xml:space="preserve">(2) Ist die Ausübung der Tätigkeit in dem anderen Mitglied- oder Vertragsstaat nicht durch Rechts- oder Verwaltungsvorschrift an eine bestimmte Berufsqualifikation gebunden, kann die Sachkunde durch jedes andere geeignete Dokument, insbesondere durch Abschluss- oder Arbeitszeugnisse, gegebenenfalls in Verbindung mit Stellenbeschreibungen, nachgewiesen werden.</w:t>
      </w:r>
    </w:p>
    <w:p>
      <w:r>
        <w:rPr>
          <w:color w:val="555555"/>
          <w:sz w:val="17"/>
        </w:rPr>
        <w:t xml:space="preserve">Zitiervorschlag: § 20 WpDVerOV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https://recht.nulegal.eu/gesetze/WpDVerOV%202018/20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