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WpDVerOV 2018 — Strukturierte Einlagen</w:t>
      </w:r>
    </w:p>
    <w:p>
      <w:r>
        <w:rPr>
          <w:color w:val="555555"/>
          <w:sz w:val="18"/>
        </w:rPr>
        <w:t xml:space="preserve">Wertpapierdienstleistungs-Verhaltens-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11 und 12 dieser Verordnung gelten entsprechend für den Verkauf von und die Beratung zu strukturierten Einlagen durch Wertpapierdienstleistungsunternehmen und Kreditinstitute, die strukturierte Einlagen ausgeben.</w:t>
      </w:r>
    </w:p>
    <w:p>
      <w:r>
        <w:rPr>
          <w:color w:val="555555"/>
          <w:sz w:val="17"/>
        </w:rPr>
        <w:t xml:space="preserve">Zitiervorschlag: § 13 WpDVerOV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https://recht.nulegal.eu/gesetze/WpDVerOV%202018/13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