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WpDVerOV 2018 — Anwendungsbereich</w:t>
      </w:r>
    </w:p>
    <w:p>
      <w:r>
        <w:rPr>
          <w:color w:val="555555"/>
          <w:sz w:val="18"/>
        </w:rPr>
        <w:t xml:space="preserve">Wertpapierdienstleistungs-Verhaltens- und -Organisationsverordnung</w:t>
      </w:r>
    </w:p>
    <w:p>
      <w:r>
        <w:rPr>
          <w:color w:val="555555"/>
          <w:sz w:val="18"/>
        </w:rPr>
        <w:t xml:space="preserve">Stand: 10.06.2019 (konsolidierte Textfassung, kein amtliches Inkrafttretensdatum)</w:t>
      </w:r>
    </w:p>
    <w:p>
      <w:r>
        <w:t xml:space="preserve">(1) Die Vorschriften dieser Verordnung sind anzuwenden auf</w:t>
      </w:r>
    </w:p>
    <w:p>
      <w:pPr>
        <w:ind w:left="420"/>
      </w:pPr>
      <w:r>
        <w:t xml:space="preserve">1. die Kundeneigenschaft, soweit diese betrifft</w:t>
      </w:r>
    </w:p>
    <w:p>
      <w:pPr>
        <w:ind w:left="780"/>
      </w:pPr>
      <w:r>
        <w:t xml:space="preserve">a) die Vorgaben an eine Einstufung als professioneller Kunde im Sinne des § 67 Absatz 2 Satz 2 Nummer 2 des Wertpapierhandelsgesetzes,</w:t>
      </w:r>
    </w:p>
    <w:p>
      <w:pPr>
        <w:ind w:left="780"/>
      </w:pPr>
      <w:r>
        <w:t xml:space="preserve">b) die Kriterien, das Verfahren und die organisatorischen Vorkehrungen bei einer Einstufung eines professionellen Kunden als Privatkunde nach § 67 Absatz 5 des Wertpapierhandelsgesetzes und eines Privatkunden als professioneller Kunde nach § 67 Absatz 6 des Wertpapierhandelsgesetzes,</w:t>
      </w:r>
    </w:p>
    <w:p>
      <w:pPr>
        <w:ind w:left="420"/>
      </w:pPr>
      <w:r>
        <w:t xml:space="preserve">2. die allgemeinen Verhaltensregeln,</w:t>
      </w:r>
    </w:p>
    <w:p>
      <w:pPr>
        <w:ind w:left="780"/>
      </w:pPr>
      <w:r>
        <w:t xml:space="preserve">a) soweit diese die Gestaltung der Information für die Kunden nach § 64 Absatz 6 des Wertpapierhandelsgesetzes nach Art, Inhalt und Zeitpunkt und die Anforderungen an den Datenträger betreffen,</w:t>
      </w:r>
    </w:p>
    <w:p>
      <w:pPr>
        <w:ind w:left="780"/>
      </w:pPr>
      <w:r>
        <w:t xml:space="preserve">b) zu Inhalt und Aufbau der Informationsblätter im Sinne des § 64 Absatz 2 Satz 1 und zur Art und Weise ihrer Zurverfügungstellung,</w:t>
      </w:r>
    </w:p>
    <w:p>
      <w:pPr>
        <w:ind w:left="420"/>
      </w:pPr>
      <w:r>
        <w:t xml:space="preserve">3. die Bearbeitung von Kundenaufträgen hinsichtlich der Voraussetzungen, unter denen die Bundesanstalt für Finanzdienstleistungsaufsicht (Bundesanstalt) die Verpflichtung zur Bekanntmachung limitierter Kundenaufträge nach § 69 Absatz 2 Satz 1 des Wertpapierhandelsgesetzes, die den marktüblichen Geschäftsumfang im Sinne des § 69 Absatz 2 Satz 3 des Wertpapierhandelsgesetzes erheblich überschreiten, aufheben kann,</w:t>
      </w:r>
    </w:p>
    <w:p>
      <w:pPr>
        <w:ind w:left="420"/>
      </w:pPr>
      <w:r>
        <w:t xml:space="preserve">4. Zuwendungen hinsichtlich</w:t>
      </w:r>
    </w:p>
    <w:p>
      <w:pPr>
        <w:ind w:left="780"/>
      </w:pPr>
      <w:r>
        <w:t xml:space="preserve">a) der Frage, ob es sich um geringfügige nichtmonetäre Vorteile im Sinne des § 64 Absatz 7 des Wertpapierhandelsgesetzes handelt,</w:t>
      </w:r>
    </w:p>
    <w:p>
      <w:pPr>
        <w:ind w:left="780"/>
      </w:pPr>
      <w:r>
        <w:t xml:space="preserve">b) der Art und Bestimmung einer Qualitätsverbesserung im Sinne des § 70 Absatz 1 Satz 1 Nummer 1 des Wertpapierhandelsgesetzes,</w:t>
      </w:r>
    </w:p>
    <w:p>
      <w:pPr>
        <w:ind w:left="780"/>
      </w:pPr>
      <w:r>
        <w:t xml:space="preserve">c) Art, Inhalt und Aufzeichnung eines Nachweises nach § 70 Absatz 1 Satz 2 des Wertpapierhandelsgesetzes,</w:t>
      </w:r>
    </w:p>
    <w:p>
      <w:pPr>
        <w:ind w:left="780"/>
      </w:pPr>
      <w:r>
        <w:t xml:space="preserve">d) Art, Inhalt und Verfahren betreffend eine Analysegebühr oder ein Analysebudget nach § 70 Absatz 2 Satz 2 Nummer 2 Buchstabe a und b des Wertpapierhandelsgesetzes,</w:t>
      </w:r>
    </w:p>
    <w:p>
      <w:pPr>
        <w:ind w:left="780"/>
      </w:pPr>
      <w:r>
        <w:t xml:space="preserve">e) Art, Inhalt und Verfahren betreffend das vom Wertpapierdienstleistungsunternehmen geführte Analysekonto nach § 70 Absatz 2 Nummer 2 des Wertpapierhandelsgesetzes sowie dessen Verwaltung,</w:t>
      </w:r>
    </w:p>
    <w:p>
      <w:pPr>
        <w:ind w:left="780"/>
      </w:pPr>
      <w:r>
        <w:t xml:space="preserve">f) Art, Inhalt und Umfang der schriftlichen Grundsätze nach § 70 Absatz 2 Satz 4 des Wertpapierhandelsgesetzes,</w:t>
      </w:r>
    </w:p>
    <w:p>
      <w:pPr>
        <w:ind w:left="420"/>
      </w:pPr>
      <w:r>
        <w:t xml:space="preserve">5. die Organisationspflichten der Wertpapierdienstleistungsunternehmen bezüglich der Vorkehrungen und Maßnahmen nach § 80 Absatz 1 Satz 2 Nummer 3 sowie Absatz 7 des Wertpapierhandelsgesetzes,</w:t>
      </w:r>
    </w:p>
    <w:p>
      <w:pPr>
        <w:ind w:left="420"/>
      </w:pPr>
      <w:r>
        <w:t xml:space="preserve">6. die Produktfreigabeverfahren der Wertpapierdienstleistungsunternehmen, die Finanzinstrumente konzipieren, und Vertriebsunternehmen in Bezug auf Finanzinstrumente gemäß § 80 Absatz 9 bis 11 des Wertpapierhandelsgesetzes und in Umsetzung der Vorgaben der Delegierten Richtlinie (EU) 2017/593 der Kommission vom 7. April 2016 zur Ergänzung der Richtlinie 2014/65/EU des Europäischen Parlaments und des Rates im Hinblick auf den Schutz der Finanzinstrumente und Gelder von Kunden, Produktüberwachungspflichten und Vorschriften für die Entrichtung beziehungsweise Gewährung oder Entgegennahme von Gebühren, Provisionen oder anderen monetären oder nichtmonetären Vorteilen (ABl. L 87 vom 31.3.2017, S. 500),</w:t>
      </w:r>
    </w:p>
    <w:p>
      <w:pPr>
        <w:ind w:left="420"/>
      </w:pPr>
      <w:r>
        <w:t xml:space="preserve">7. die Aufzeichnungspflichten der Wertpapierdienstleistungsunternehmen gemäß § 83 Absatz 1 und 2 des Wertpapierhandelsgesetzes,</w:t>
      </w:r>
    </w:p>
    <w:p>
      <w:pPr>
        <w:ind w:left="420"/>
      </w:pPr>
      <w:r>
        <w:t xml:space="preserve">8. die Pflichten zum Schutz des Kundenvermögens gemäß § 84 des Wertpapierhandelsgesetzes und die Anforderungen an qualifizierte Geldmarktfonds im Sinne des § 84 Absatz 2 Satz 1 des Wertpapierhandelsgesetzes, jeweils in Umsetzung der Vorgaben der Delegierten Richtlinie (EU) 2017/593.</w:t>
      </w:r>
    </w:p>
    <w:p>
      <w:r>
        <w:t xml:space="preserve">(2) Die Verordnung gilt entsprechend für Zweigniederlassungen im Sinne des § 53b des Kreditwesengesetzes, Kapitalverwaltungsgesellschaften im Sinne des § 17 des Kapitalanlagegesetzbuches, ausländische AIF-Verwaltungsgesellschaften, deren Referenzmitgliedstaat die Bundesrepublik Deutschland nach § 56 des Kapitalanlagegesetzbuches ist, sowie Zweigniederlassungen und Tätigkeiten im Wege des grenzüberschreitenden Dienstleistungsverkehrs von Verwaltungsgesellschaften nach § 51 Absatz 1 Satz 1, § 54 Absatz 1 und § 66 Absatz 1 des Kapitalanlagesetzbuchs, soweit die Vorschriften des Wertpapierhandelsgesetzes auf diese Anwendung finden.</w:t>
      </w:r>
    </w:p>
    <w:p>
      <w:r>
        <w:rPr>
          <w:color w:val="555555"/>
          <w:sz w:val="17"/>
        </w:rPr>
        <w:t xml:space="preserve">Zitiervorschlag: § 1 WpDVerOV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https://recht.nulegal.eu/gesetze/WpDVerOV%202018/1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