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WpDPV 2018 — (zu § 18 Absatz 1)</w:t>
      </w:r>
    </w:p>
    <w:p>
      <w:r>
        <w:rPr>
          <w:color w:val="555555"/>
          <w:sz w:val="18"/>
        </w:rPr>
        <w:t xml:space="preserve">Wertpapierdienstleistungs-Prüfungsverordnung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(Fundstelle: BGBl. I 2018, 148 - 153; bzgl. einzelner Änderungen vgl. Fußnote)</w:t>
      </w:r>
    </w:p>
    <w:p>
      <w:r>
        <w:t xml:space="preserve">Ausfüllhinweise für den Fragebogen gemäß § 18 Absatz 1 WpDPV</w:t>
      </w:r>
    </w:p>
    <w:p>
      <w:r>
        <w:t xml:space="preserve">Im nachfolgend aufgeführten Fragebogen sind folgende Abkürzungen für die Prüfungsfeststellungen in der Spalte „Feststellung“ zu verwenden:</w:t>
      </w:r>
    </w:p>
    <w:p>
      <w:pPr>
        <w:ind w:left="420"/>
      </w:pPr>
      <w:r>
        <w:t xml:space="preserve">–: Die Vorschrift ist nicht einschlägig.</w:t>
      </w:r>
    </w:p>
    <w:p>
      <w:pPr>
        <w:ind w:left="420"/>
      </w:pPr>
      <w:r>
        <w:t xml:space="preserve">0: Die gesetzlichen und unionsrechtlichen Vorgaben wurden im gesamten Berichtszeitraum eingehalten.</w:t>
      </w:r>
    </w:p>
    <w:p>
      <w:pPr>
        <w:ind w:left="420"/>
      </w:pPr>
      <w:r>
        <w:t xml:space="preserve">1: Bei der Einhaltung der gesetzlichen oder unionsrechtlichen Vorgaben ist ein Mangel aufgetreten, der bis zum Ende des Prüfungszeitraumes beseitigt wurde.</w:t>
      </w:r>
    </w:p>
    <w:p>
      <w:pPr>
        <w:ind w:left="420"/>
      </w:pPr>
      <w:r>
        <w:t xml:space="preserve">2: Bei der Einhaltung der gesetzlichen oder unionsrechtlichen Vorgaben ist ein Mangel aufgetreten, der nicht beseitigt werden kann.</w:t>
      </w:r>
    </w:p>
    <w:p>
      <w:pPr>
        <w:ind w:left="420"/>
      </w:pPr>
      <w:r>
        <w:t xml:space="preserve">3: Bei der Einhaltung der gesetzlichen oder unionsrechtlichen Vorgaben ist ein behebbarer Mangel aufgetreten, der bis zum Ende des Prüfungszeitraumes nicht beseitigt wurde.</w:t>
      </w:r>
    </w:p>
    <w:p>
      <w:pPr>
        <w:ind w:left="420"/>
      </w:pPr>
      <w:r>
        <w:t xml:space="preserve">4: Bei der Überprüfung der Einhaltung der gesetzlichen oder unionsrechtlichen Vorgaben wurden sonstige Erkenntnisse gewonnen, die sich auf die fehlende oder nicht vollständige Berücksichtigung der durch die Europäische Wertpapier- und Marktaufsichtsbehörde (ESMA) vorgenommenen und veröffentlichten Auslegung beziehen, ohne dass zugleich ein Mangel bei der Einhaltung der gesetzlichen oder unionsrechtlichen Vorgaben aufgetreten ist.</w:t>
      </w:r>
    </w:p>
    <w:p>
      <w:r>
        <w:t xml:space="preserve">Tritt ein Mangel auf, der bereits bei der letzten Prüfung vorgelegen hat, ist dieser mit dem Symbol * zu kennzeichnen.</w:t>
      </w:r>
    </w:p>
    <w:p>
      <w:r>
        <w:t xml:space="preserve">Fragebogen gemäß § 18 Absatz 1 WpDPV</w:t>
      </w:r>
    </w:p>
    <w:p>
      <w:r>
        <w:t xml:space="preserve">Wertpapierdienstleistungsunternehmen:</w:t>
      </w:r>
    </w:p>
    <w:p>
      <w:r>
        <w:t xml:space="preserve">Berichtszeitraum:</w:t>
      </w:r>
    </w:p>
    <w:p>
      <w:r>
        <w:t xml:space="preserve">Prüfungszeitraum:</w:t>
      </w:r>
    </w:p>
    <w:p>
      <w:r>
        <w:t xml:space="preserve">Prüfungsstichtag:</w:t>
      </w:r>
    </w:p>
    <w:p>
      <w:r>
        <w:t xml:space="preserve">Prüfungsfeststellungen:</w:t>
      </w:r>
    </w:p>
    <w:p>
      <w:r>
        <w:rPr>
          <w:rFonts w:ascii="Courier New" w:hAnsi="Courier New"/>
          <w:sz w:val="17"/>
        </w:rPr>
        <w:t xml:space="preserve">Nr.    Vorschrift    Prüfungsgebiet    Feststellung    Fundstelle (Prüfungs- bericht)</w:t>
      </w:r>
    </w:p>
    <w:p>
      <w:r>
        <w:rPr>
          <w:rFonts w:ascii="Courier New" w:hAnsi="Courier New"/>
          <w:sz w:val="17"/>
        </w:rPr>
        <w:t xml:space="preserve">Verhaltens- und Organisationspflichten</w:t>
      </w:r>
    </w:p>
    <w:p>
      <w:r>
        <w:rPr>
          <w:rFonts w:ascii="Courier New" w:hAnsi="Courier New"/>
          <w:sz w:val="17"/>
        </w:rPr>
        <w:t xml:space="preserve">1    Berücksichtigung des Kundeninteresses und der Bedürfnisse des Kunden</w:t>
      </w:r>
    </w:p>
    <w:p>
      <w:r>
        <w:rPr>
          <w:rFonts w:ascii="Courier New" w:hAnsi="Courier New"/>
          <w:sz w:val="17"/>
        </w:rPr>
        <w:t xml:space="preserve">1a    § 63 Abs. 1 WpHG    Ehrliches, redliches und professionelles Erbringen der Dienstleistungen im bestmöglichen Kundeninteresse        </w:t>
      </w:r>
    </w:p>
    <w:p>
      <w:r>
        <w:rPr>
          <w:rFonts w:ascii="Courier New" w:hAnsi="Courier New"/>
          <w:sz w:val="17"/>
        </w:rPr>
        <w:t xml:space="preserve">1b    § 63 Abs. 3, 4 WpHG; § 11 Abs. 1, 3 – 5, 10, 11; § 12 Abs. 1, 4 S. 2, 3, Abs. 5 − 7, 9, 10 WpDVerOV    Anreize für Mitarbeiter; Produktüberwachung; Produktfreigabeverfahren; Ausgestaltung von Finanzinstrumenten unter Berücksichtigung des Zielmarktes; Sicherstellung der Vereinbarkeit mit Bedürfnissen des Kunden        </w:t>
      </w:r>
    </w:p>
    <w:p>
      <w:r>
        <w:rPr>
          <w:rFonts w:ascii="Courier New" w:hAnsi="Courier New"/>
          <w:sz w:val="17"/>
        </w:rPr>
        <w:t xml:space="preserve">2    § 63 Abs. 6 WpHG; Art. 44 Del. VO (EU) 2017/565    Redliche, eindeutige und nicht irreführende Information und Marketingmitteilung gegenüber Kunden und gegenüber Privatkunden        </w:t>
      </w:r>
    </w:p>
    <w:p>
      <w:r>
        <w:rPr>
          <w:rFonts w:ascii="Courier New" w:hAnsi="Courier New"/>
          <w:sz w:val="17"/>
        </w:rPr>
        <w:t xml:space="preserve">3    § 63 Abs. 7, 8, 9, 12, § 64 Abs. 1, 2 WpHG; § 4 WpDVerOV; Art. 46 − 50 Del. VO (EU) 2017/565    Angemessene Kundeninformation; inhaltliche Ausgestaltung und Zurverfügungstellung der Informationen        </w:t>
      </w:r>
    </w:p>
    <w:p>
      <w:r>
        <w:rPr>
          <w:rFonts w:ascii="Courier New" w:hAnsi="Courier New"/>
          <w:sz w:val="17"/>
        </w:rPr>
        <w:t xml:space="preserve">4    Zuwendungen</w:t>
      </w:r>
    </w:p>
    <w:p>
      <w:r>
        <w:rPr>
          <w:rFonts w:ascii="Courier New" w:hAnsi="Courier New"/>
          <w:sz w:val="17"/>
        </w:rPr>
        <w:t xml:space="preserve">4a    § 64 Abs. 7, § 70 Abs. 1 WpHG; § 6 WpDVerOV    Qualitätsverbesserung durch Zuwendungen; Offenlegung von Zuwendungen        </w:t>
      </w:r>
    </w:p>
    <w:p>
      <w:r>
        <w:rPr>
          <w:rFonts w:ascii="Courier New" w:hAnsi="Courier New"/>
          <w:sz w:val="17"/>
        </w:rPr>
        <w:t xml:space="preserve">4b    § 70 Abs. 5, § 80 Abs. 8 WpHG    Verfahren zur Auskehrung von Zuwendungen        </w:t>
      </w:r>
    </w:p>
    <w:p>
      <w:r>
        <w:rPr>
          <w:rFonts w:ascii="Courier New" w:hAnsi="Courier New"/>
          <w:sz w:val="17"/>
        </w:rPr>
        <w:t xml:space="preserve">4c    § 70 Abs. 2 S. 2 − 4, Abs. 3 WpHG; § 7 WpDVerOV    Umsetzung der Anforderungen an Zuwendungen im Zusammenhang mit Finanzanalysen        </w:t>
      </w:r>
    </w:p>
    <w:p>
      <w:r>
        <w:rPr>
          <w:rFonts w:ascii="Courier New" w:hAnsi="Courier New"/>
          <w:sz w:val="17"/>
        </w:rPr>
        <w:t xml:space="preserve">5    Erhebung von Kundendaten; Angemessenheits- und Geeignetheitsprüfung</w:t>
      </w:r>
    </w:p>
    <w:p>
      <w:r>
        <w:rPr>
          <w:rFonts w:ascii="Courier New" w:hAnsi="Courier New"/>
          <w:sz w:val="17"/>
        </w:rPr>
        <w:t xml:space="preserve">5a    § 63 Abs. 5 WpHG    Angebot oder Empfehlung von Finanzinstrumenten unter Berücksichtigung der Kundenbedürfnisse und des Kundeninteresses        </w:t>
      </w:r>
    </w:p>
    <w:p>
      <w:r>
        <w:rPr>
          <w:rFonts w:ascii="Courier New" w:hAnsi="Courier New"/>
          <w:sz w:val="17"/>
        </w:rPr>
        <w:t xml:space="preserve">5b    § 63 Abs. 10, § 64 Abs. 3, 4 WpHG; Art. 54 − 56 Del. VO (EU) 2017/565    Geeignetheits- und Angemessenheitsbeurteilung und Geeignetheitserklärung        </w:t>
      </w:r>
    </w:p>
    <w:p>
      <w:r>
        <w:rPr>
          <w:rFonts w:ascii="Courier New" w:hAnsi="Courier New"/>
          <w:sz w:val="17"/>
        </w:rPr>
        <w:t xml:space="preserve">6    § 67 WpHG; Art. 45 Del. VO (EU) 2017/565; § 2 WpDVerOV    Einstufung der Kunden und Vereinbarung über die Einstufung        </w:t>
      </w:r>
    </w:p>
    <w:p>
      <w:r>
        <w:rPr>
          <w:rFonts w:ascii="Courier New" w:hAnsi="Courier New"/>
          <w:sz w:val="17"/>
        </w:rPr>
        <w:t xml:space="preserve">7    § 64 Abs. 5, 6; § 80 Abs. 7 WpHG; § 8 WpDVerOV; Art. 52, 53 Del. VO (EU) 2017/565    Honorar-Anlageberatung        </w:t>
      </w:r>
    </w:p>
    <w:p>
      <w:r>
        <w:rPr>
          <w:rFonts w:ascii="Courier New" w:hAnsi="Courier New"/>
          <w:sz w:val="17"/>
        </w:rPr>
        <w:t xml:space="preserve">8    § 80 Abs. 1 S. 1 Nr. 1, 4, Abs. 2 WpHG; Art. 21, 22 Abs. 1 Del. VO (EU) 2017/565    Allgemeine organisatorische Anforderungen; Kontinuität und Regelmäßigkeit der Wertpapierdienstleistungen und Wertpapiernebendienstleistungen; Überwachung der Angemessenheit und Wirksamkeit getroffener organisatorischer Maßnahmen; Informationssicherheitsmechanismen        </w:t>
      </w:r>
    </w:p>
    <w:p>
      <w:r>
        <w:rPr>
          <w:rFonts w:ascii="Courier New" w:hAnsi="Courier New"/>
          <w:sz w:val="17"/>
        </w:rPr>
        <w:t xml:space="preserve">9    Art. 22 Abs. 2 − 4 Del. VO (EU) 2017/565    Einrichtung, Ausstattung und Organisation der Compliance-Funktion        </w:t>
      </w:r>
    </w:p>
    <w:p>
      <w:r>
        <w:rPr>
          <w:rFonts w:ascii="Courier New" w:hAnsi="Courier New"/>
          <w:sz w:val="17"/>
        </w:rPr>
        <w:t xml:space="preserve">10a    § 80 Abs. 1 S. 2 Nr. 2 WpHG; Art. 33 − 35 Del. VO (EU) 2017/565; § 63 Abs. 2 WpHG    Interessenkonfliktmanagement (geeignete Vorkehrungen zur Vermeidung von Interessenkonflikten und zur Darlegung von unvermeidbaren Interessenkonflikten); Offenlegung von Interessenkonflikten        </w:t>
      </w:r>
    </w:p>
    <w:p>
      <w:r>
        <w:rPr>
          <w:rFonts w:ascii="Courier New" w:hAnsi="Courier New"/>
          <w:sz w:val="17"/>
        </w:rPr>
        <w:t xml:space="preserve">10b    Art. 27 Del. VO (EU) 2017/565    Ausgestaltung der Vergütung ohne Beeinträchtigung des Kundeninteresses        </w:t>
      </w:r>
    </w:p>
    <w:p>
      <w:r>
        <w:rPr>
          <w:rFonts w:ascii="Courier New" w:hAnsi="Courier New"/>
          <w:sz w:val="17"/>
        </w:rPr>
        <w:t xml:space="preserve">11    Art. 38 − 43 Del. VO (EU) 2017/565    Zusätzliche Anforderungen an das Interessenkonfliktmanagement im Emissions- und Platzierungsgeschäft        </w:t>
      </w:r>
    </w:p>
    <w:p>
      <w:r>
        <w:rPr>
          <w:rFonts w:ascii="Courier New" w:hAnsi="Courier New"/>
          <w:sz w:val="17"/>
        </w:rPr>
        <w:t xml:space="preserve">12    § 80 Abs. 9 − 13; § 81 Abs. 4 WpHG; § 11 Abs. 1, 2, 6 − 9, 12 − 15, § 12 Abs. 1 − 4 S. 1, Abs. 8, 11, 12 WpDPVerOV    Verfahren und Maßnahmen zur Sicherstellung eines ordnungsgemäßen Umgangs mit Interessenkonflikten bei der Konzeption von Finanzinstrumenten; Produktüberwachungsprozess; Produktfreigabeverfahren        </w:t>
      </w:r>
    </w:p>
    <w:p>
      <w:r>
        <w:rPr>
          <w:rFonts w:ascii="Courier New" w:hAnsi="Courier New"/>
          <w:sz w:val="17"/>
        </w:rPr>
        <w:t xml:space="preserve">13    § 80 Abs. 1 S. 2 Nr. 3 WpHG    Ausgestaltung, Umsetzung und Überwachung von Vertriebsvorgaben        </w:t>
      </w:r>
    </w:p>
    <w:p>
      <w:r>
        <w:rPr>
          <w:rFonts w:ascii="Courier New" w:hAnsi="Courier New"/>
          <w:sz w:val="17"/>
        </w:rPr>
        <w:t xml:space="preserve">14    §§ 77, 80 Abs. 2 − 5 WpHG i. V. m. Art. 1 − 23, 28 Del. VO (EU) 2017/589 und Art. 1 − 3 Del. VO (EU) 2017/578    Erfüllung der Anforderungen an algorithmischen Handel, inklusive Systeme, Risikokontrollen und Notfallvorkehrungen, Aufzeichnungspflichten und Liquiditätsbereitstellung bei Verfolgung einer Market-Making-Strategie; Anbieten eines direkten elektronischen Zugangs zu einem Handelsplatz        </w:t>
      </w:r>
    </w:p>
    <w:p>
      <w:r>
        <w:rPr>
          <w:rFonts w:ascii="Courier New" w:hAnsi="Courier New"/>
          <w:sz w:val="17"/>
        </w:rPr>
        <w:t xml:space="preserve">15    §§ 69, 82 WpHG; Art. 3 − 11 Del. VO (EU) 2017/575; Art. 3, 4 Del. VO (EU) 2017/576; Art. 64 − 70 Del. VO (EU) 2017/565    Auftragsausführung; angemessene Vorkehrungen und Festlegung von Grundsätzen zur bestmöglichen Ausführung von Kundenaufträgen („Best execution“); Veröffentlichungspflichten der systematischen Internalisierer und Ausführungsplätze        </w:t>
      </w:r>
    </w:p>
    <w:p>
      <w:r>
        <w:rPr>
          <w:rFonts w:ascii="Courier New" w:hAnsi="Courier New"/>
          <w:sz w:val="17"/>
        </w:rPr>
        <w:t xml:space="preserve">16    § 78 WpHG; Art. 24 − 27 Del. VO (EU) 2017/589    Erbringen von Clearing Diensten als General-Clearing-Mitglied        </w:t>
      </w:r>
    </w:p>
    <w:p>
      <w:r>
        <w:rPr>
          <w:rFonts w:ascii="Courier New" w:hAnsi="Courier New"/>
          <w:sz w:val="17"/>
        </w:rPr>
        <w:t xml:space="preserve">17    Art. 26 Del. VO (EU) 2017/565    Behandlung von Kundenbeschwerden        </w:t>
      </w:r>
    </w:p>
    <w:p>
      <w:r>
        <w:rPr>
          <w:rFonts w:ascii="Courier New" w:hAnsi="Courier New"/>
          <w:sz w:val="17"/>
        </w:rPr>
        <w:t xml:space="preserve">18    Art. 28, 29 Del. VO (EU) 2017/565    Vorgaben zu persönlichen Geschäften (Mitarbeitergeschäfte)        </w:t>
      </w:r>
    </w:p>
    <w:p>
      <w:r>
        <w:rPr>
          <w:rFonts w:ascii="Courier New" w:hAnsi="Courier New"/>
          <w:sz w:val="17"/>
        </w:rPr>
        <w:t xml:space="preserve">19    § 81 Abs. 1 − 4 WpHG    Pflichten für Geschäftsleiter        </w:t>
      </w:r>
    </w:p>
    <w:p>
      <w:r>
        <w:rPr>
          <w:rFonts w:ascii="Courier New" w:hAnsi="Courier New"/>
          <w:sz w:val="17"/>
        </w:rPr>
        <w:t xml:space="preserve">20    § 81 Abs. 5 WpHG    Beauftragter für die Einhaltung der Verpflichtungen in Bezug auf den Schutz von Finanzinstrumenten und Geldern von Kunden        </w:t>
      </w:r>
    </w:p>
    <w:p>
      <w:r>
        <w:rPr>
          <w:rFonts w:ascii="Courier New" w:hAnsi="Courier New"/>
          <w:sz w:val="17"/>
        </w:rPr>
        <w:t xml:space="preserve">21    § 84 WpHG; § 10 WpDVerOV; Art. 49, 63 Del. VO (EU) 2017/565    Schutz der Finanzinstrumente und Gelder von Kunden, Verbot bestimmter Finanzsicherheiten        </w:t>
      </w:r>
    </w:p>
    <w:p>
      <w:r>
        <w:rPr>
          <w:rFonts w:ascii="Courier New" w:hAnsi="Courier New"/>
          <w:sz w:val="17"/>
        </w:rPr>
        <w:t xml:space="preserve">22    § 87 Abs. 1 – 5 WpHG; §§ 14 – 18, 21 WpDVerOV    Erforderliche Sachkunde und Zuverlässigkeit der Mitarbeiter in der Anlageberatung, der Vertriebsmitarbeiter, der Mitarbeiter in der Finanzportfolioverwaltung, der Vertriebsbeauftragten und der Compliance-Beauftragten        </w:t>
      </w:r>
    </w:p>
    <w:p>
      <w:r>
        <w:rPr>
          <w:rFonts w:ascii="Courier New" w:hAnsi="Courier New"/>
          <w:sz w:val="17"/>
        </w:rPr>
        <w:t xml:space="preserve">23    § 80 Abs. 6 WpHG; Art. 30 − 32 Del. VO (EU) 2017/565    Anforderungen an die Auslagerung von Aktivitäten, Prozessen und Finanzdienstleistungen        </w:t>
      </w:r>
    </w:p>
    <w:p>
      <w:r>
        <w:rPr>
          <w:rFonts w:ascii="Courier New" w:hAnsi="Courier New"/>
          <w:sz w:val="17"/>
        </w:rPr>
        <w:t xml:space="preserve">24    Art. 31 Abs. 2, 3 VO (EU) Nr. 600/2014 i. V. m. Art. 17 Abs. 2 − 6, Art. 18 Del. VO (EU) 2017/567    Anforderungen für die Durchführung einer Portfoliokomprimierung        </w:t>
      </w:r>
    </w:p>
    <w:p>
      <w:r>
        <w:rPr>
          <w:rFonts w:ascii="Courier New" w:hAnsi="Courier New"/>
          <w:sz w:val="17"/>
        </w:rPr>
        <w:t xml:space="preserve">Berichts- und Aufzeichnungspflichten</w:t>
      </w:r>
    </w:p>
    <w:p>
      <w:r>
        <w:rPr>
          <w:rFonts w:ascii="Courier New" w:hAnsi="Courier New"/>
          <w:sz w:val="17"/>
        </w:rPr>
        <w:t xml:space="preserve">25    § 64 Abs. 8 WpHG; Art. 59 − 62 Del. VO (EU) 2017/565    Berichterstattung über die Ausführung von Aufträgen sowie die Finanzportfolioverwaltung        </w:t>
      </w:r>
    </w:p>
    <w:p>
      <w:r>
        <w:rPr>
          <w:rFonts w:ascii="Courier New" w:hAnsi="Courier New"/>
          <w:sz w:val="17"/>
        </w:rPr>
        <w:t xml:space="preserve">26    § 83 Abs. 1, 2 WpHG; Art. 72 − 75 Del. VO EU) 2017/565    Erfüllung der Aufzeichnungs- und Aufbewahrungspflichten, sofern nicht bereits von den Nummern 1 bis 25 erfasst        </w:t>
      </w:r>
    </w:p>
    <w:p>
      <w:r>
        <w:rPr>
          <w:rFonts w:ascii="Courier New" w:hAnsi="Courier New"/>
          <w:sz w:val="17"/>
        </w:rPr>
        <w:t xml:space="preserve">27    § 83 Abs. 3 − 5 WpHG; Art. 76 Del. VO (EU) 2017/565    Aufzeichnung von Telefongesprächen und elektronischer Kommunikation („Taping“)        </w:t>
      </w:r>
    </w:p>
    <w:p>
      <w:r>
        <w:rPr>
          <w:rFonts w:ascii="Courier New" w:hAnsi="Courier New"/>
          <w:sz w:val="17"/>
        </w:rPr>
        <w:t xml:space="preserve">28    § 83 Abs. 6 WpHG    Schriftliche Aufzeichnung über persönliche Gespräche in Bezug auf Geschäfte und Dienstleistungen nach § 83 Abs. 3 Satz 1 WpHG        </w:t>
      </w:r>
    </w:p>
    <w:p>
      <w:r>
        <w:rPr>
          <w:rFonts w:ascii="Courier New" w:hAnsi="Courier New"/>
          <w:sz w:val="17"/>
        </w:rPr>
        <w:t xml:space="preserve">Transparenzanforderungen; Handelspflicht</w:t>
      </w:r>
    </w:p>
    <w:p>
      <w:r>
        <w:rPr>
          <w:rFonts w:ascii="Courier New" w:hAnsi="Courier New"/>
          <w:sz w:val="17"/>
        </w:rPr>
        <w:t xml:space="preserve">29    § 79 WpHG    Mitteilungspflicht von systematischen Internalisierern        </w:t>
      </w:r>
    </w:p>
    <w:p>
      <w:r>
        <w:rPr>
          <w:rFonts w:ascii="Courier New" w:hAnsi="Courier New"/>
          <w:sz w:val="17"/>
        </w:rPr>
        <w:t xml:space="preserve">30    Art. 27 VO (EU) Nr. 600/2014    Bereitstellung durch benannte veröffentlichende Einrichtungen        </w:t>
      </w:r>
    </w:p>
    <w:p>
      <w:r>
        <w:rPr>
          <w:rFonts w:ascii="Courier New" w:hAnsi="Courier New"/>
          <w:sz w:val="17"/>
        </w:rPr>
        <w:t xml:space="preserve">31    Art. 14, 15, 17 VO (EU) Nr. 600/2014; Art. 6 – 14 Del. VO (EU) 2017/567 und Art. 9 Del. VO (EU) 2017/587    Transparenzanforderungen an systematische Internalisierer        </w:t>
      </w:r>
    </w:p>
    <w:p>
      <w:r>
        <w:rPr>
          <w:rFonts w:ascii="Courier New" w:hAnsi="Courier New"/>
          <w:sz w:val="17"/>
        </w:rPr>
        <w:t xml:space="preserve">32    Art. 20, 21 VO (EU) Nr. 600/2014 i. V. m. Art. 12, 15 Del. VO (EU) 2017/587 und Art. 7, 8 Del. VO (EU) 2017/583    Veröffentlichung des Volumens, des Kurses und des Zeitpunktes des Abschlusses von Geschäften durch Wertpapierdienstleistungsunternehmen, die außerhalb eines Handelsplatzes handeln        </w:t>
      </w:r>
    </w:p>
    <w:p>
      <w:r>
        <w:rPr>
          <w:rFonts w:ascii="Courier New" w:hAnsi="Courier New"/>
          <w:sz w:val="17"/>
        </w:rPr>
        <w:t xml:space="preserve">33    Art. 23 VO (EU) Nr. 600/2014 i. V. m. Art. 2 Del. VO (EU) 2017/587    Pflicht zum Handel von Aktien an einem Handelsplatz        </w:t>
      </w:r>
    </w:p>
    <w:p>
      <w:r>
        <w:rPr>
          <w:rFonts w:ascii="Courier New" w:hAnsi="Courier New"/>
          <w:sz w:val="17"/>
        </w:rPr>
        <w:t xml:space="preserve">Meldung von Geschäften mit Finanzinstrumenten und von Positionen in Warenderivaten</w:t>
      </w:r>
    </w:p>
    <w:p>
      <w:r>
        <w:rPr>
          <w:rFonts w:ascii="Courier New" w:hAnsi="Courier New"/>
          <w:sz w:val="17"/>
        </w:rPr>
        <w:t xml:space="preserve">34    Art. 25 Abs. 1 VO (EU) Nr. 600/2014    Aufzeichnungen über Aufträge und Geschäfte        </w:t>
      </w:r>
    </w:p>
    <w:p>
      <w:r>
        <w:rPr>
          <w:rFonts w:ascii="Courier New" w:hAnsi="Courier New"/>
          <w:sz w:val="17"/>
        </w:rPr>
        <w:t xml:space="preserve">35    Art. 26 VO (EU) Nr. 600/2014 i. V. m. Art. 1, 4 − 12, Art. 13 Abs. 2 und 3, Art. 14, 15 Del. VO (EU) 2017/590    Meldung von Geschäften mit Finanzinstrumenten        </w:t>
      </w:r>
    </w:p>
    <w:p>
      <w:r>
        <w:rPr>
          <w:rFonts w:ascii="Courier New" w:hAnsi="Courier New"/>
          <w:sz w:val="17"/>
        </w:rPr>
        <w:t xml:space="preserve">36    § 57 Abs. 1, 4 WpHG    Meldungen von Positionen in Warenderivaten        </w:t>
      </w:r>
    </w:p>
    <w:p>
      <w:r>
        <w:rPr>
          <w:rFonts w:ascii="Courier New" w:hAnsi="Courier New"/>
          <w:sz w:val="17"/>
        </w:rPr>
        <w:t xml:space="preserve">Depotgeschäft nach § 89 Absatz 1 Satz 2 des Wertpapierhandelsgesetzes</w:t>
      </w:r>
    </w:p>
    <w:p>
      <w:r>
        <w:rPr>
          <w:rFonts w:ascii="Courier New" w:hAnsi="Courier New"/>
          <w:sz w:val="17"/>
        </w:rPr>
        <w:t xml:space="preserve">37    Vorgaben zum Depotgeschäft; § 67a Abs. 3, § 67b, jeweils auch i. V. m. § 125 Abs. 1, 2 und 5, § 135 AktG    Prüfungsrelevante Erkenntnisse, die für die Beurteilung der Ordnungsmäßigkeit des Depotgeschäftes von Bedeutung sind        </w:t>
      </w:r>
    </w:p>
    <w:p>
      <w:r>
        <w:rPr>
          <w:rFonts w:ascii="Courier New" w:hAnsi="Courier New"/>
          <w:sz w:val="17"/>
        </w:rPr>
        <w:t xml:space="preserve">Verwendung von Ratings</w:t>
      </w:r>
    </w:p>
    <w:p>
      <w:r>
        <w:rPr>
          <w:rFonts w:ascii="Courier New" w:hAnsi="Courier New"/>
          <w:sz w:val="17"/>
        </w:rPr>
        <w:t xml:space="preserve">38    Art. 4 Abs. 1 Unterabs. 1 VO (EG) Nr. 1060/2009    Verwendung von Ratings für aufsichtsrechtliche Zwecke        </w:t>
      </w:r>
    </w:p>
    <w:p>
      <w:r>
        <w:rPr>
          <w:rFonts w:ascii="Courier New" w:hAnsi="Courier New"/>
          <w:sz w:val="17"/>
        </w:rPr>
        <w:t xml:space="preserve">39    Art. 5a Abs. 1 VO (EG) Nr. 1060/2009    Übermäßiger Rückgriff auf Ratings        </w:t>
      </w:r>
    </w:p>
    <w:p>
      <w:r>
        <w:rPr>
          <w:rFonts w:ascii="Courier New" w:hAnsi="Courier New"/>
          <w:sz w:val="17"/>
        </w:rPr>
        <w:t xml:space="preserve">Finanzanalysen und Marketingmitteilungen; Empfehlungen</w:t>
      </w:r>
    </w:p>
    <w:p>
      <w:r>
        <w:rPr>
          <w:rFonts w:ascii="Courier New" w:hAnsi="Courier New"/>
          <w:sz w:val="17"/>
        </w:rPr>
        <w:t xml:space="preserve">40a    § 80 Abs. 1 S. 2 Nr. 2 WpHG i. V. m. Art. 37 Del. VO (EU) 2017/565    Organisatorische Anforderungen bezüglich Finanzanalysen und Marketingmitteilungen        </w:t>
      </w:r>
    </w:p>
    <w:p>
      <w:r>
        <w:rPr>
          <w:rFonts w:ascii="Courier New" w:hAnsi="Courier New"/>
          <w:sz w:val="17"/>
        </w:rPr>
        <w:t xml:space="preserve">40b    Art. 20 Abs. 1 VO (EU) Nr. 596/2014 i. V. m. Art. 2 − 7 Del. VO (EU) 2016/958    Objektivität der Darstellung und Offenlegung von Interessen oder Interessenkonflikten bei der Erstellung von Empfehlungen        </w:t>
      </w:r>
    </w:p>
    <w:p>
      <w:r>
        <w:rPr>
          <w:rFonts w:ascii="Courier New" w:hAnsi="Courier New"/>
          <w:sz w:val="17"/>
        </w:rPr>
        <w:t xml:space="preserve">40c    Art. 20 Abs. 1 VO (EU) Nr.596/2014 i. V. m. Art. 8 − 10 Del. VO (EU) 2016/958    Objektivität der Darstellung und Offenlegung von Interessen oder Interessenkonflikten bei der Weitergabe der von Dritten erstellten Empfehlungen        </w:t>
      </w:r>
    </w:p>
    <w:p>
      <w:r>
        <w:rPr>
          <w:rFonts w:ascii="Courier New" w:hAnsi="Courier New"/>
          <w:sz w:val="17"/>
        </w:rPr>
        <w:t xml:space="preserve">Systeme und Verfahren zur Aufdeckung und Meldung von Marktmanipulation</w:t>
      </w:r>
    </w:p>
    <w:p>
      <w:r>
        <w:rPr>
          <w:rFonts w:ascii="Courier New" w:hAnsi="Courier New"/>
          <w:sz w:val="17"/>
        </w:rPr>
        <w:t xml:space="preserve">41    Art. 16 Abs. 2, 3 VO (EU) Nr. 596/2014; Art. 2 Abs. 1 und 5, Art. 3 Abs. 1, 4, 6 − 8, Art. 4 Abs. 1, Art. 5 − 6 Del. VO (EU) 2016/957    Regelungen, Systeme und Verfahren zur Aufdeckung und Meldung von Marktmanipulation        </w:t>
      </w:r>
    </w:p>
    <w:p>
      <w:r>
        <w:rPr>
          <w:rFonts w:ascii="Courier New" w:hAnsi="Courier New"/>
          <w:sz w:val="17"/>
        </w:rPr>
        <w:t xml:space="preserve">Pflichten für Wertpapierdienstleistungsunternehmen, die ein multilaterales oder organisiertes Handelssystem betreiben</w:t>
      </w:r>
    </w:p>
    <w:p>
      <w:r>
        <w:rPr>
          <w:rFonts w:ascii="Courier New" w:hAnsi="Courier New"/>
          <w:sz w:val="17"/>
        </w:rPr>
        <w:t xml:space="preserve">42    §§ 72, 74, 75 WpHG i. V. m. Art. 4 − 7 Del. VO (EU) 2017/578; Art. 2 − 23 Del. VO (EU) 2017/584    Anforderungen beim Betrieb eines multilateralen oder organisierten Handelssystems        </w:t>
      </w:r>
    </w:p>
    <w:p>
      <w:r>
        <w:rPr>
          <w:rFonts w:ascii="Courier New" w:hAnsi="Courier New"/>
          <w:sz w:val="17"/>
        </w:rPr>
        <w:t xml:space="preserve">43    Art. 3 − 13 VO (EU) Nr. 600/2014 i. V. m. Art. 3, 12, 14 − 15 Del. VO (EU) 2017/587; Art. 2, 7 − 8 Del. VO (EU) 2017/583; Art. 5 Del. VO (EU) 2017/577; Art. 6 − 11 Del. VO (EU) 2017/567    Anforderungen an die Vor- und Nachhandelstransparenz beim Betrieb eines multilateralen Handelssystems        </w:t>
      </w:r>
    </w:p>
    <w:p>
      <w:r>
        <w:rPr>
          <w:rFonts w:ascii="Courier New" w:hAnsi="Courier New"/>
          <w:sz w:val="17"/>
        </w:rPr>
        <w:t xml:space="preserve">44    Art. 25 Abs. 2 VO (EU) Nr. 600/2014 i. V. m. Del. VO (EU) 2017/580    Aufzeichnungen über Aufträge und Geschäfte bei Betreibern von Handelsplätzen        </w:t>
      </w:r>
    </w:p>
    <w:p>
      <w:r>
        <w:rPr>
          <w:rFonts w:ascii="Courier New" w:hAnsi="Courier New"/>
          <w:sz w:val="17"/>
        </w:rPr>
        <w:t xml:space="preserve">45    Art. 26 Abs. 5 VO (EU) Nr. 600/2014 i. V. m. Art. 1, 6 − 11, 15 Del. VO (EU) 2017/590    Meldung von Geschäften mit Finanzinstrumenten, die über das multilaterale oder organisierte Handelssystem mit Unternehmen abgewickelt werden, die nicht der Verordnung (EU) Nr. 600/2014 unterliegen        </w:t>
      </w:r>
    </w:p>
    <w:p>
      <w:r>
        <w:rPr>
          <w:rFonts w:ascii="Courier New" w:hAnsi="Courier New"/>
          <w:sz w:val="17"/>
        </w:rPr>
        <w:t xml:space="preserve">46    Art. 27 VO (EU) Nr. 600/2014; Art. 4 VO (EU) Nr. 596/2014 i. V. m. Del. VO (EU) 2017/585    Bereitstellung von Referenzdaten        </w:t>
      </w:r>
    </w:p>
    <w:p>
      <w:r>
        <w:rPr>
          <w:rFonts w:ascii="Courier New" w:hAnsi="Courier New"/>
          <w:sz w:val="17"/>
        </w:rPr>
        <w:t xml:space="preserve">47    Art. 31 Abs. 2, 3 VO (EU) Nr. 600/2014 i. V. m. Art. 17 Abs. 2 − 6, Art. 18 Del. VO (EU) 2017/567    Anforderungen für die Durchführung einer Portfoliokomprimierung        </w:t>
      </w:r>
    </w:p>
    <w:p>
      <w:r>
        <w:rPr>
          <w:rFonts w:ascii="Courier New" w:hAnsi="Courier New"/>
          <w:sz w:val="17"/>
        </w:rPr>
        <w:t xml:space="preserve">48    § 57 Abs. 1, 2 WpHG    Meldung von Positionen in Warenderivaten bei Betreibern von Handelsplätzen        </w:t>
      </w:r>
    </w:p>
    <w:p>
      <w:r>
        <w:rPr>
          <w:rFonts w:ascii="Courier New" w:hAnsi="Courier New"/>
          <w:sz w:val="17"/>
        </w:rPr>
        <w:t xml:space="preserve">49    Art. 16 Abs. 1 VO (EU) Nr. 596/2014 i. V. m. Art. 2 Abs. 3 und 5, Art. 3 Abs. 1, 3, 4, 5 und 8, Art. 4 − 6 Del. VO (EU) 2017/585    Regelungen, Systeme und Verfahren zur Aufdeckung, Vorbeugung und Meldung von Marktmissbrauch        </w:t>
      </w:r>
    </w:p>
    <w:p>
      <w:r>
        <w:rPr>
          <w:rFonts w:ascii="Courier New" w:hAnsi="Courier New"/>
          <w:sz w:val="17"/>
        </w:rPr>
        <w:t xml:space="preserve">Sonstiges</w:t>
      </w:r>
    </w:p>
    <w:p>
      <w:r>
        <w:rPr>
          <w:rFonts w:ascii="Courier New" w:hAnsi="Courier New"/>
          <w:sz w:val="17"/>
        </w:rPr>
        <w:t xml:space="preserve">50    § 89 Abs. 4 WpHG    Durch die Bundesanstalt festgelegte Prüfungsschwerpunkte    ja/ nein:    </w:t>
      </w:r>
    </w:p>
    <w:p>
      <w:r>
        <w:rPr>
          <w:rFonts w:ascii="Courier New" w:hAnsi="Courier New"/>
          <w:sz w:val="17"/>
        </w:rPr>
        <w:t xml:space="preserve">    Erläuterungen zu Nummer 50:</w:t>
      </w:r>
    </w:p>
    <w:p>
      <w:r>
        <w:rPr>
          <w:rFonts w:ascii="Courier New" w:hAnsi="Courier New"/>
          <w:sz w:val="17"/>
        </w:rPr>
        <w:t xml:space="preserve">51    Feststellung der Innenrevision in prüfungsrelevanten Bereichen    ja/ nein:    </w:t>
      </w:r>
    </w:p>
    <w:p>
      <w:r>
        <w:rPr>
          <w:rFonts w:ascii="Courier New" w:hAnsi="Courier New"/>
          <w:sz w:val="17"/>
        </w:rPr>
        <w:t xml:space="preserve">    Erläuterungen zu Nummer 51:</w:t>
      </w:r>
    </w:p>
    <w:p>
      <w:r>
        <w:rPr>
          <w:rFonts w:ascii="Courier New" w:hAnsi="Courier New"/>
          <w:sz w:val="17"/>
        </w:rPr>
        <w:t xml:space="preserve">52    Weitere Feststellungen, die für die Beurteilung der Ordnungsmäßigkeit der erbrachten Wertpapierdienstleistungen von Bedeutung und nicht durch die Nummern 1 bis 51 abgedeckt sind    ja/ nein:    </w:t>
      </w:r>
    </w:p>
    <w:p>
      <w:r>
        <w:rPr>
          <w:rFonts w:ascii="Courier New" w:hAnsi="Courier New"/>
          <w:sz w:val="17"/>
        </w:rPr>
        <w:t xml:space="preserve">    Erläuterungen zu Nummer 52:</w:t>
      </w:r>
    </w:p>
    <w:p>
      <w:r>
        <w:rPr>
          <w:rFonts w:ascii="Courier New" w:hAnsi="Courier New"/>
          <w:sz w:val="17"/>
        </w:rPr>
        <w:t xml:space="preserve">53    Quantitative Angaben zur Kundenstruktur</w:t>
      </w:r>
    </w:p>
    <w:p>
      <w:r>
        <w:rPr>
          <w:rFonts w:ascii="Courier New" w:hAnsi="Courier New"/>
          <w:sz w:val="17"/>
        </w:rPr>
        <w:t xml:space="preserve">53a    Anzahl der Privatkunden        </w:t>
      </w:r>
    </w:p>
    <w:p>
      <w:r>
        <w:rPr>
          <w:rFonts w:ascii="Courier New" w:hAnsi="Courier New"/>
          <w:sz w:val="17"/>
        </w:rPr>
        <w:t xml:space="preserve">53b    Anzahl der professionellen Kunden        </w:t>
      </w:r>
    </w:p>
    <w:p>
      <w:r>
        <w:rPr>
          <w:rFonts w:ascii="Courier New" w:hAnsi="Courier New"/>
          <w:sz w:val="17"/>
        </w:rPr>
        <w:t xml:space="preserve">53c    Anzahl der geeigneten Gegenparteien        </w:t>
      </w:r>
    </w:p>
    <w:p>
      <w:r>
        <w:rPr>
          <w:rFonts w:ascii="Courier New" w:hAnsi="Courier New"/>
          <w:sz w:val="17"/>
        </w:rPr>
        <w:t xml:space="preserve">54    Kurze Beschreibung der identifizierten Mängel und der Vorschriften, gegen die ein Verstoß vorliegt, insbesondere unter Berücksichtigung der seitens der BaFin und der ESMA vorgenommenen und veröffentlichten Normauslegung:</w:t>
      </w:r>
    </w:p>
    <w:p>
      <w:r>
        <w:rPr>
          <w:rFonts w:ascii="Courier New" w:hAnsi="Courier New"/>
          <w:sz w:val="17"/>
        </w:rPr>
        <w:t xml:space="preserve">55    Weitere Angaben zu Art und Umfang der Geschäftstätigkeit (Bitte ankreuzen)</w:t>
      </w:r>
    </w:p>
    <w:p>
      <w:r>
        <w:rPr>
          <w:rFonts w:ascii="Courier New" w:hAnsi="Courier New"/>
          <w:sz w:val="17"/>
        </w:rPr>
        <w:t xml:space="preserve">        Privatkunden    Professionelle Kunden    Geeignete Gegenparteien</w:t>
      </w:r>
    </w:p>
    <w:p>
      <w:r>
        <w:rPr>
          <w:rFonts w:ascii="Courier New" w:hAnsi="Courier New"/>
          <w:sz w:val="17"/>
        </w:rPr>
        <w:t xml:space="preserve">    Wertpapierdienstleistungen im Sinne des § 2 Absatz 8 WpHG, die im Berichtszeitraum erbracht wurden</w:t>
      </w:r>
    </w:p>
    <w:p>
      <w:r>
        <w:rPr>
          <w:rFonts w:ascii="Courier New" w:hAnsi="Courier New"/>
          <w:sz w:val="17"/>
        </w:rPr>
        <w:t xml:space="preserve">    S. 1 Nr. 1 (Finanzkommissionsgeschäft)                                    </w:t>
      </w:r>
    </w:p>
    <w:p>
      <w:r>
        <w:rPr>
          <w:rFonts w:ascii="Courier New" w:hAnsi="Courier New"/>
          <w:sz w:val="17"/>
        </w:rPr>
        <w:t xml:space="preserve">    S. 1 Nr. 2a (Market-Making)                                    </w:t>
      </w:r>
    </w:p>
    <w:p>
      <w:r>
        <w:rPr>
          <w:rFonts w:ascii="Courier New" w:hAnsi="Courier New"/>
          <w:sz w:val="17"/>
        </w:rPr>
        <w:t xml:space="preserve">    S. 1 Nr. 2b (systematische Internalisierung)                                    </w:t>
      </w:r>
    </w:p>
    <w:p>
      <w:r>
        <w:rPr>
          <w:rFonts w:ascii="Courier New" w:hAnsi="Courier New"/>
          <w:sz w:val="17"/>
        </w:rPr>
        <w:t xml:space="preserve">    S. 1 Nr. 2c (Eigenhandel)                                    </w:t>
      </w:r>
    </w:p>
    <w:p>
      <w:r>
        <w:rPr>
          <w:rFonts w:ascii="Courier New" w:hAnsi="Courier New"/>
          <w:sz w:val="17"/>
        </w:rPr>
        <w:t xml:space="preserve">    S. 1 Nr. 2d (Hochfrequenzhandel)                                    </w:t>
      </w:r>
    </w:p>
    <w:p>
      <w:r>
        <w:rPr>
          <w:rFonts w:ascii="Courier New" w:hAnsi="Courier New"/>
          <w:sz w:val="17"/>
        </w:rPr>
        <w:t xml:space="preserve">    S. 1 Nr. 3 (Abschlussvermittlung)                                    </w:t>
      </w:r>
    </w:p>
    <w:p>
      <w:r>
        <w:rPr>
          <w:rFonts w:ascii="Courier New" w:hAnsi="Courier New"/>
          <w:sz w:val="17"/>
        </w:rPr>
        <w:t xml:space="preserve">    S. 1 Nr. 4 (Anlagevermittlung)                                    </w:t>
      </w:r>
    </w:p>
    <w:p>
      <w:r>
        <w:rPr>
          <w:rFonts w:ascii="Courier New" w:hAnsi="Courier New"/>
          <w:sz w:val="17"/>
        </w:rPr>
        <w:t xml:space="preserve">    S. 1 Nr. 5 (Emissionsgeschäft)                                    </w:t>
      </w:r>
    </w:p>
    <w:p>
      <w:r>
        <w:rPr>
          <w:rFonts w:ascii="Courier New" w:hAnsi="Courier New"/>
          <w:sz w:val="17"/>
        </w:rPr>
        <w:t xml:space="preserve">    S. 1 Nr. 6 (Platzierungsgeschäft)                                    </w:t>
      </w:r>
    </w:p>
    <w:p>
      <w:r>
        <w:rPr>
          <w:rFonts w:ascii="Courier New" w:hAnsi="Courier New"/>
          <w:sz w:val="17"/>
        </w:rPr>
        <w:t xml:space="preserve">    S. 1 Nr. 7 (Finanzportfolioverwaltung)                                    </w:t>
      </w:r>
    </w:p>
    <w:p>
      <w:r>
        <w:rPr>
          <w:rFonts w:ascii="Courier New" w:hAnsi="Courier New"/>
          <w:sz w:val="17"/>
        </w:rPr>
        <w:t xml:space="preserve">    S. 1 Nr. 8 (Betrieb eines multilateralen Handelssystems − MTF)                                    </w:t>
      </w:r>
    </w:p>
    <w:p>
      <w:r>
        <w:rPr>
          <w:rFonts w:ascii="Courier New" w:hAnsi="Courier New"/>
          <w:sz w:val="17"/>
        </w:rPr>
        <w:t xml:space="preserve">    S. 1 Nr. 9 (Betrieb eines organisierten Handelssystems − OTF)                                    </w:t>
      </w:r>
    </w:p>
    <w:p>
      <w:r>
        <w:rPr>
          <w:rFonts w:ascii="Courier New" w:hAnsi="Courier New"/>
          <w:sz w:val="17"/>
        </w:rPr>
        <w:t xml:space="preserve">    S. 1 Nr. 10 (Anlageberatung)                                    </w:t>
      </w:r>
    </w:p>
    <w:p>
      <w:r>
        <w:rPr>
          <w:rFonts w:ascii="Courier New" w:hAnsi="Courier New"/>
          <w:sz w:val="17"/>
        </w:rPr>
        <w:t xml:space="preserve">    S. 6 (Eigengeschäft)                                    </w:t>
      </w:r>
    </w:p>
    <w:p>
      <w:r>
        <w:rPr>
          <w:rFonts w:ascii="Courier New" w:hAnsi="Courier New"/>
          <w:sz w:val="17"/>
        </w:rPr>
        <w:t xml:space="preserve">    Wertpapiernebendienstleistungen im Sinne des § 2 Absatz 9 WpHG, die im Berichtszeitraum erbracht wurden</w:t>
      </w:r>
    </w:p>
    <w:p>
      <w:r>
        <w:rPr>
          <w:rFonts w:ascii="Courier New" w:hAnsi="Courier New"/>
          <w:sz w:val="17"/>
        </w:rPr>
        <w:t xml:space="preserve">    Nr. 1 (Depotgeschäft)*                                    </w:t>
      </w:r>
    </w:p>
    <w:p>
      <w:r>
        <w:rPr>
          <w:rFonts w:ascii="Courier New" w:hAnsi="Courier New"/>
          <w:sz w:val="17"/>
        </w:rPr>
        <w:t xml:space="preserve">    Nr. 2                                    </w:t>
      </w:r>
    </w:p>
    <w:p>
      <w:r>
        <w:rPr>
          <w:rFonts w:ascii="Courier New" w:hAnsi="Courier New"/>
          <w:sz w:val="17"/>
        </w:rPr>
        <w:t xml:space="preserve">    Nr. 3                                    </w:t>
      </w:r>
    </w:p>
    <w:p>
      <w:r>
        <w:rPr>
          <w:rFonts w:ascii="Courier New" w:hAnsi="Courier New"/>
          <w:sz w:val="17"/>
        </w:rPr>
        <w:t xml:space="preserve">    Nr. 4                                    </w:t>
      </w:r>
    </w:p>
    <w:p>
      <w:r>
        <w:rPr>
          <w:rFonts w:ascii="Courier New" w:hAnsi="Courier New"/>
          <w:sz w:val="17"/>
        </w:rPr>
        <w:t xml:space="preserve">    Nr. 5 (Anlage[strategie]empfehlung)                                    </w:t>
      </w:r>
    </w:p>
    <w:p>
      <w:r>
        <w:rPr>
          <w:rFonts w:ascii="Courier New" w:hAnsi="Courier New"/>
          <w:sz w:val="17"/>
        </w:rPr>
        <w:t xml:space="preserve">    Nr. 6                                    </w:t>
      </w:r>
    </w:p>
    <w:p>
      <w:r>
        <w:rPr>
          <w:rFonts w:ascii="Courier New" w:hAnsi="Courier New"/>
          <w:sz w:val="17"/>
        </w:rPr>
        <w:t xml:space="preserve">    Nr. 7                                    </w:t>
      </w:r>
    </w:p>
    <w:p>
      <w:r>
        <w:rPr>
          <w:rFonts w:ascii="Courier New" w:hAnsi="Courier New"/>
          <w:sz w:val="17"/>
        </w:rPr>
        <w:t xml:space="preserve">    * Ergänzende Angaben zum Depotgeschäft (für die ergänzenden Angaben ist auf den Prüfungsstichtag abzustellen):                                    </w:t>
      </w:r>
    </w:p>
    <w:p>
      <w:r>
        <w:rPr>
          <w:rFonts w:ascii="Courier New" w:hAnsi="Courier New"/>
          <w:sz w:val="17"/>
        </w:rPr>
        <w:t xml:space="preserve">    Anzahl der Depots:                                    </w:t>
      </w:r>
    </w:p>
    <w:p>
      <w:r>
        <w:rPr>
          <w:rFonts w:ascii="Courier New" w:hAnsi="Courier New"/>
          <w:sz w:val="17"/>
        </w:rPr>
        <w:t xml:space="preserve">    Kumulierte Depotvolumina:                                    </w:t>
      </w:r>
    </w:p>
    <w:p>
      <w:r>
        <w:rPr>
          <w:color w:val="555555"/>
          <w:sz w:val="17"/>
        </w:rPr>
        <w:t xml:space="preserve">Zitiervorschlag: Anlage WpDPV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https://recht.nulegal.eu/gesetze/WpDPV%202018/anlage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