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WpAIV — Art und Form der Mitteilungen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(1) Mitteilungen nach § 8 sind schriftlich mittels Telefax zu übersenden. Auf Verlangen der Bundesanstalt ist die eigenhändig unterschriebene Mitteilung auf dem Postweg nachzureichen. Gleiches können auch die Geschäftsführungen der Handelsplätze im Sinne des § 26 Absatz 1 des Wertpapierhandelsgesetzes verlangen, sofern sie nach diesen Vorschriften eine Mitteilung erhalten.</w:t>
      </w:r>
    </w:p>
    <w:p>
      <w:r>
        <w:t xml:space="preserve">(2) Auf Verlangen der Bundesanstalt sind Mitteilungen nach § 8 elektronisch über das Melde- und Veröffentlichungssystem der Bundesanstalt einzureichen. Gleiches gilt für die Übersendung von Mitteilungen nach § 7.</w:t>
      </w:r>
    </w:p>
    <w:p>
      <w:r>
        <w:rPr>
          <w:color w:val="555555"/>
          <w:sz w:val="17"/>
        </w:rPr>
        <w:t xml:space="preserve">Zitiervorschlag: § 9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