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WpAIV — Inhalt der Mitteilung</w:t>
      </w:r>
    </w:p>
    <w:p>
      <w:r>
        <w:rPr>
          <w:color w:val="555555"/>
          <w:sz w:val="18"/>
        </w:rPr>
        <w:t xml:space="preserve">Wertpapierhandelsanzeigeverordnung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In der Mitteilung nach § 26 Absatz 1 des Wertpapierhandelsgesetzes sind anzugeben:</w:t>
      </w:r>
    </w:p>
    <w:p>
      <w:pPr>
        <w:ind w:left="420"/>
      </w:pPr>
      <w:r>
        <w:t xml:space="preserve">1. der Wortlaut der Veröffentlichung,</w:t>
      </w:r>
    </w:p>
    <w:p>
      <w:pPr>
        <w:ind w:left="420"/>
      </w:pPr>
      <w:r>
        <w:t xml:space="preserve">2. der Zeitpunkt der Veröffentlichung und</w:t>
      </w:r>
    </w:p>
    <w:p>
      <w:pPr>
        <w:ind w:left="420"/>
      </w:pPr>
      <w:r>
        <w:t xml:space="preserve">3. ein Ansprechpartner des Emittenten mit Rufnummer.</w:t>
      </w:r>
    </w:p>
    <w:p>
      <w:r>
        <w:t xml:space="preserve">(2) Im Fall der Berichtigung einer Veröffentlichung von Insiderinformationen nach Artikel 17 Absatz 1 Unterabsatz 2 der Verordnung (EU) Nr. 596/2014 sind nur in der Mitteilung an die Bundesanstalt nach § 26 Absatz 1 des Wertpapierhandelsgesetzes zusätzlich die Gründe für die Veröffentlichung der zu berichtigenden Information darzulegen. § 6 Absatz 15 Satz 1 des Wertpapierhandelsgesetzes gilt entsprechend.</w:t>
      </w:r>
    </w:p>
    <w:p>
      <w:r>
        <w:t xml:space="preserve">(3) Im Fall der Offenlegung von Insiderinformationen nach Artikel 17 Absatz 8 der Verordnung (EU) Nr. 596/2014 hat der Emittent nur in der Mitteilung an die Bundesanstalt nach § 26 Absatz 1 des Wertpapierhandelsgesetzes anzugeben:</w:t>
      </w:r>
    </w:p>
    <w:p>
      <w:pPr>
        <w:ind w:left="420"/>
      </w:pPr>
      <w:r>
        <w:t xml:space="preserve">1. den Vor- und Familiennamen der Person, der die Insiderinformation offengelegt worden ist,</w:t>
      </w:r>
    </w:p>
    <w:p>
      <w:pPr>
        <w:ind w:left="420"/>
      </w:pPr>
      <w:r>
        <w:t xml:space="preserve">2. ihre Geschäftsanschrift oder, falls eine solche nicht besteht, ihre Privatanschrift,</w:t>
      </w:r>
    </w:p>
    <w:p>
      <w:pPr>
        <w:ind w:left="420"/>
      </w:pPr>
      <w:r>
        <w:t xml:space="preserve">3. den Zeitpunkt der Informationspreisgabe sowie</w:t>
      </w:r>
    </w:p>
    <w:p>
      <w:pPr>
        <w:ind w:left="420"/>
      </w:pPr>
      <w:r>
        <w:t xml:space="preserve">4. im Fall einer nicht absichtlichen Offenlegung nach Artikel 17 Absatz 8 der Verordnung (EU) Nr. 596/2014 die Umstände der nicht absichtlichen Offenlegung.</w:t>
      </w:r>
    </w:p>
    <w:p>
      <w:r>
        <w:t xml:space="preserve">§ 6 Absatz 15 Satz 1 des Wertpapierhandelsgesetzes gilt entsprechend.</w:t>
      </w:r>
    </w:p>
    <w:p>
      <w:r>
        <w:t xml:space="preserve">(4) Die Angaben nach Absatz 3 können innerhalb von 14 Tagen nach der Veröffentlichung nachgereicht werden.</w:t>
      </w:r>
    </w:p>
    <w:p>
      <w:r>
        <w:t xml:space="preserve">(5) (weggefallen)</w:t>
      </w:r>
    </w:p>
    <w:p>
      <w:r>
        <w:rPr>
          <w:color w:val="555555"/>
          <w:sz w:val="17"/>
        </w:rPr>
        <w:t xml:space="preserve">Zitiervorschlag: § 8 WpAIV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https://recht.nulegal.eu/gesetze/WpAIV/8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