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WpAIV — Mitteilung nach Artikel 17 Absatz 4 Unterabsatz 3 der Verordnung (EU) Nr. 596/2014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Mitteilung nach Artikel 17 Absatz 4 Unterabsatz 3 der Verordnung (EU) Nr. 596/2014 hat in Ergänzung zu den Vorschriften der Durchführungsverordnung (EU) 2016/1055 folgende Angaben zu enthalten:</w:t>
      </w:r>
    </w:p>
    <w:p>
      <w:pPr>
        <w:ind w:left="420"/>
      </w:pPr>
      <w:r>
        <w:t xml:space="preserve">1. alle Zeitpunkte, an denen der Fortbestand der Gründe überprüft wurde, sowie</w:t>
      </w:r>
    </w:p>
    <w:p>
      <w:pPr>
        <w:ind w:left="420"/>
      </w:pPr>
      <w:r>
        <w:t xml:space="preserve">2. den Vor- und Familiennamen sowie die Geschäftsanschriften und Rufnummern aller Personen, die an der Entscheidung über die Befreiung beteiligt waren.</w:t>
      </w:r>
    </w:p>
    <w:p>
      <w:r>
        <w:rPr>
          <w:color w:val="555555"/>
          <w:sz w:val="17"/>
        </w:rPr>
        <w:t xml:space="preserve">Zitiervorschlag: § 7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