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WpAIV — Inhalt und Format der Veröffentlichung</w:t>
      </w:r>
    </w:p>
    <w:p>
      <w:r>
        <w:rPr>
          <w:color w:val="555555"/>
          <w:sz w:val="18"/>
        </w:rPr>
        <w:t xml:space="preserve">Wertpapierhandelsanzeigeverordnung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Veröffentlichung nach § 40 Absatz 1 Satz 1 des Wertpapierhandelsgesetzes muss die Angaben der Mitteilung an den Emittenten gemäß dem Formular der Anlage zu dieser Verordnung enthalten und in dem dort vorgegebenen Format erfolgen.</w:t>
      </w:r>
    </w:p>
    <w:p>
      <w:r>
        <w:rPr>
          <w:color w:val="555555"/>
          <w:sz w:val="17"/>
        </w:rPr>
        <w:t xml:space="preserve">Zitiervorschlag: § 15 WpAIV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https://recht.nulegal.eu/gesetze/WpAIV/15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